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bCs/>
          <w:sz w:val="22"/>
          <w:szCs w:val="22"/>
          <w:lang w:val="sq-AL"/>
        </w:rPr>
      </w:pPr>
      <w:bookmarkStart w:id="0" w:name="_GoBack"/>
      <w:bookmarkEnd w:id="0"/>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autoSpaceDE w:val="0"/>
        <w:autoSpaceDN w:val="0"/>
        <w:adjustRightInd w:val="0"/>
        <w:jc w:val="right"/>
        <w:rPr>
          <w:rFonts w:ascii="Calibri" w:hAnsi="Calibri" w:cs="Arial"/>
          <w:b/>
          <w:sz w:val="28"/>
          <w:szCs w:val="28"/>
          <w:lang w:val="sq-AL"/>
        </w:rPr>
      </w:pPr>
      <w:r>
        <w:rPr>
          <w:rFonts w:ascii="Calibri" w:hAnsi="Calibri" w:cs="Arial"/>
          <w:b/>
          <w:sz w:val="28"/>
          <w:szCs w:val="28"/>
          <w:lang w:val="sq-AL"/>
        </w:rPr>
        <w:t>SHTOJCA 13</w:t>
      </w:r>
    </w:p>
    <w:p>
      <w:pPr>
        <w:autoSpaceDE w:val="0"/>
        <w:autoSpaceDN w:val="0"/>
        <w:adjustRightInd w:val="0"/>
        <w:jc w:val="right"/>
        <w:rPr>
          <w:rFonts w:ascii="Calibri" w:hAnsi="Calibri" w:cs="Arial"/>
          <w:b/>
          <w:sz w:val="28"/>
          <w:szCs w:val="28"/>
          <w:lang w:val="sq-AL"/>
        </w:rPr>
      </w:pPr>
    </w:p>
    <w:p>
      <w:pPr>
        <w:autoSpaceDE w:val="0"/>
        <w:autoSpaceDN w:val="0"/>
        <w:adjustRightInd w:val="0"/>
        <w:jc w:val="right"/>
        <w:rPr>
          <w:rFonts w:ascii="Calibri" w:hAnsi="Calibri" w:cs="Arial"/>
          <w:b/>
          <w:sz w:val="28"/>
          <w:szCs w:val="28"/>
          <w:lang w:val="sq-AL"/>
        </w:rPr>
      </w:pPr>
    </w:p>
    <w:p>
      <w:pPr>
        <w:autoSpaceDE w:val="0"/>
        <w:autoSpaceDN w:val="0"/>
        <w:adjustRightInd w:val="0"/>
        <w:jc w:val="right"/>
        <w:rPr>
          <w:rFonts w:ascii="Calibri" w:hAnsi="Calibri" w:cs="Arial"/>
          <w:b/>
          <w:sz w:val="28"/>
          <w:szCs w:val="28"/>
          <w:lang w:val="sq-AL"/>
        </w:rPr>
      </w:pPr>
    </w:p>
    <w:p>
      <w:pPr>
        <w:autoSpaceDE w:val="0"/>
        <w:autoSpaceDN w:val="0"/>
        <w:adjustRightInd w:val="0"/>
        <w:jc w:val="right"/>
        <w:rPr>
          <w:rFonts w:ascii="Calibri" w:hAnsi="Calibri" w:cs="Arial"/>
          <w:b/>
          <w:sz w:val="28"/>
          <w:szCs w:val="28"/>
          <w:lang w:val="sq-AL"/>
        </w:rPr>
      </w:pPr>
    </w:p>
    <w:p>
      <w:pPr>
        <w:autoSpaceDE w:val="0"/>
        <w:autoSpaceDN w:val="0"/>
        <w:adjustRightInd w:val="0"/>
        <w:jc w:val="right"/>
        <w:rPr>
          <w:rFonts w:ascii="Calibri" w:hAnsi="Calibri" w:cs="Arial"/>
          <w:b/>
          <w:sz w:val="28"/>
          <w:szCs w:val="28"/>
          <w:lang w:val="sq-AL"/>
        </w:rPr>
      </w:pPr>
    </w:p>
    <w:p>
      <w:pPr>
        <w:autoSpaceDE w:val="0"/>
        <w:autoSpaceDN w:val="0"/>
        <w:adjustRightInd w:val="0"/>
        <w:jc w:val="right"/>
        <w:rPr>
          <w:rFonts w:ascii="Calibri" w:hAnsi="Calibri" w:cs="Arial"/>
          <w:b/>
          <w:sz w:val="28"/>
          <w:szCs w:val="28"/>
          <w:lang w:val="sq-AL"/>
        </w:rPr>
      </w:pPr>
    </w:p>
    <w:p>
      <w:pPr>
        <w:autoSpaceDE w:val="0"/>
        <w:autoSpaceDN w:val="0"/>
        <w:adjustRightInd w:val="0"/>
        <w:jc w:val="center"/>
        <w:rPr>
          <w:rFonts w:ascii="Calibri" w:hAnsi="Calibri" w:cs="Arial"/>
          <w:b/>
          <w:sz w:val="40"/>
          <w:szCs w:val="40"/>
          <w:lang w:val="sq-AL"/>
        </w:rPr>
      </w:pPr>
      <w:r>
        <w:rPr>
          <w:rFonts w:ascii="Calibri" w:hAnsi="Calibri" w:cs="Arial"/>
          <w:b/>
          <w:sz w:val="40"/>
          <w:szCs w:val="40"/>
          <w:lang w:val="sq-AL"/>
        </w:rPr>
        <w:t>PËRBËRJA E ELEMENTEVE BIOLOGJIKE DHE PARAMETRAVE FIZIKO-KIMIK</w:t>
      </w:r>
      <w:r>
        <w:rPr>
          <w:rFonts w:ascii="Calibri" w:hAnsi="Calibri" w:cs="Calibri"/>
          <w:b/>
          <w:sz w:val="40"/>
          <w:szCs w:val="40"/>
          <w:lang w:val="sq-AL"/>
        </w:rPr>
        <w:t>Ë</w:t>
      </w:r>
      <w:r>
        <w:rPr>
          <w:rFonts w:ascii="Calibri" w:hAnsi="Calibri" w:cs="Arial"/>
          <w:b/>
          <w:sz w:val="40"/>
          <w:szCs w:val="40"/>
          <w:lang w:val="sq-AL"/>
        </w:rPr>
        <w:t xml:space="preserve"> NË PELLGUN E DRINIT TË BARDHË GJATË FUSHATAVE KËRKIMORE NË TERREN</w:t>
      </w: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36"/>
          <w:szCs w:val="36"/>
          <w:lang w:val="sq-AL"/>
        </w:rPr>
      </w:pPr>
      <w:r>
        <w:rPr>
          <w:b/>
          <w:bCs/>
          <w:sz w:val="36"/>
          <w:szCs w:val="36"/>
          <w:lang w:val="sq-AL"/>
        </w:rPr>
        <w:t xml:space="preserve">SHTOJCA 13A. Përbërja e faunës së peshkut në 10 stacione të marrjes së mostrave në pellgun e lumit Drini i Bardhë gjatë fushatës kërkimore në terren të vitit 2018. </w:t>
      </w: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b/>
          <w:bCs/>
          <w:sz w:val="22"/>
          <w:szCs w:val="22"/>
          <w:lang w:val="sq-AL"/>
        </w:rPr>
      </w:pPr>
    </w:p>
    <w:p>
      <w:pPr>
        <w:rPr>
          <w:lang w:val="sq-AL"/>
        </w:rPr>
      </w:pPr>
      <w:r>
        <w:rPr>
          <w:lang w:val="sq-AL"/>
        </w:rPr>
        <w:t>Gjatë punës në terren u morën mostra nga bashkësia e llojllojshme e peshkut, ku shumë peshq të vegjël kanë nevojë për makrofite ujore si strehë dhe mbrojtje nga grabitqarët ose për të shmangur kanibalizmin. Makrofitet ujore gjithashtu shërbejnë për disa peshq si habitat për hedhjen e vezëve, për ngjitjen e vezëve, dhe disa peshq formojnë foletë midis makrofiteve.</w:t>
      </w:r>
    </w:p>
    <w:p>
      <w:pPr>
        <w:rPr>
          <w:lang w:val="sq-AL"/>
        </w:rPr>
      </w:pPr>
      <w:r>
        <w:rPr>
          <w:lang w:val="sq-AL"/>
        </w:rPr>
        <w:t>Më poshtë janë përshkruar speciet e gjetura në pellgun e lumit Drini i Bardhë:</w:t>
      </w:r>
    </w:p>
    <w:p>
      <w:pPr>
        <w:rPr>
          <w:lang w:val="sq-AL"/>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171624</wp:posOffset>
            </wp:positionV>
            <wp:extent cx="2423795" cy="1409065"/>
            <wp:effectExtent l="0" t="0" r="0" b="635"/>
            <wp:wrapTight wrapText="bothSides">
              <wp:wrapPolygon edited="0">
                <wp:start x="0" y="0"/>
                <wp:lineTo x="0" y="21318"/>
                <wp:lineTo x="21391" y="21318"/>
                <wp:lineTo x="21391"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a:ext>
                      </a:extLst>
                    </a:blip>
                    <a:stretch>
                      <a:fillRect/>
                    </a:stretch>
                  </pic:blipFill>
                  <pic:spPr>
                    <a:xfrm>
                      <a:off x="0" y="0"/>
                      <a:ext cx="2423795" cy="1409065"/>
                    </a:xfrm>
                    <a:prstGeom prst="rect">
                      <a:avLst/>
                    </a:prstGeom>
                  </pic:spPr>
                </pic:pic>
              </a:graphicData>
            </a:graphic>
            <wp14:sizeRelH relativeFrom="margin">
              <wp14:pctWidth>0</wp14:pctWidth>
            </wp14:sizeRelH>
            <wp14:sizeRelV relativeFrom="margin">
              <wp14:pctHeight>0</wp14:pctHeight>
            </wp14:sizeRelV>
          </wp:anchor>
        </w:drawing>
      </w:r>
      <w:r>
        <w:rPr>
          <w:noProof/>
          <w:lang w:val="sq-AL"/>
        </w:rPr>
        <w:t>Salmo trutta m. fariodesis, një specie e përhapur në pellgjet lumore të Ballkanit Perëndimor. Është specie e ekotipit lumor, migron në vendet e hedhjes së vezëve në vjeshtë. Salmo trutta jeton në rrjedha të vogla të pastra dhe janë grabitqarë të rëndësishëm të makroinvertebrorëve dhe rënia e popullatave të troftës ngjyrë kafe në këto zona specifike ndikon në të gjithë rrjetin ushqimor ujor. S. trutta morpha fario preferon ujë të oksigjenuar mirë në intervalin e temperaturës nga 15 deri në 18 °C. Mbulesa ose struktura është e rëndësishme për troftën dhe ka më shumë gjasa që ato të gjenden pranë shkëmbinjve dhe trungjeve të zhytur në ujë, brigjeve të zgavruara përbrenda dhe vegjetacionit të varur sipër</w:t>
      </w:r>
      <w:r>
        <w:rPr>
          <w:lang w:val="sq-AL"/>
        </w:rPr>
        <w:t xml:space="preserve">. </w:t>
      </w:r>
    </w:p>
    <w:p>
      <w:pPr>
        <w:rPr>
          <w:b/>
          <w:bCs/>
          <w:lang w:val="sq-AL"/>
        </w:rPr>
      </w:pPr>
      <w:r>
        <w:rPr>
          <w:b/>
          <w:bCs/>
          <w:lang w:val="sq-AL"/>
        </w:rPr>
        <w:t>Salmo trutta fariodes të marra mostër në zonat e pacenuara të burimeve në zonën e lumit Lumbardhi i Deçanit.</w:t>
      </w:r>
    </w:p>
    <w:p>
      <w:pPr>
        <w:rPr>
          <w:lang w:val="sq-AL"/>
        </w:rPr>
      </w:pPr>
      <w:r>
        <w:rPr>
          <w:lang w:val="sq-AL"/>
        </w:rPr>
        <w:t>Struktura siguron mbrojtje nga grabitqarët, rrezet e ndritshme të diellit dhe temperaturat më të larta të ujit. Qasja në ujëra të thella për mbrojtje në ngricat e dimrit, ose ujë të shpejtë për mbrojtje nga nivelet e ulëta të oksigjenit në verë janë gjithashtu ideale. Troftat gjenden më shpesh në rryma të rënda dhe të forta.</w:t>
      </w:r>
    </w:p>
    <w:p>
      <w:pPr>
        <w:rPr>
          <w:lang w:val="sq-AL"/>
        </w:rP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80298</wp:posOffset>
            </wp:positionV>
            <wp:extent cx="2591435" cy="1503045"/>
            <wp:effectExtent l="0" t="0" r="0" b="1905"/>
            <wp:wrapTight wrapText="bothSides">
              <wp:wrapPolygon edited="0">
                <wp:start x="0" y="0"/>
                <wp:lineTo x="0" y="21354"/>
                <wp:lineTo x="21436" y="21354"/>
                <wp:lineTo x="2143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2591435" cy="1503045"/>
                    </a:xfrm>
                    <a:prstGeom prst="rect">
                      <a:avLst/>
                    </a:prstGeom>
                  </pic:spPr>
                </pic:pic>
              </a:graphicData>
            </a:graphic>
            <wp14:sizeRelH relativeFrom="margin">
              <wp14:pctWidth>0</wp14:pctWidth>
            </wp14:sizeRelH>
            <wp14:sizeRelV relativeFrom="margin">
              <wp14:pctHeight>0</wp14:pctHeight>
            </wp14:sizeRelV>
          </wp:anchor>
        </w:drawing>
      </w:r>
      <w:r>
        <w:rPr>
          <w:noProof/>
          <w:lang w:val="sq-AL"/>
        </w:rPr>
        <w:t>Alburnoides ohridenaus është një specie e rendit Cypriniformes, që jeton në ujëra të ëmbël. Lloji lokal i përhapur, Alburnoides ohridanus, është endemik i ekorajonit të Adriatikut Juglindor që dikur konsiderohej i izoluar lokalisht në zonën e Ohrit. Kjo specie në kohën e vlerësimit (2008) mendohej se njihej vetëm në Liqenin e Ohrit (Republika e Maqedonisë së Veriut - Shqipëria), ku ekziston një kërcënim potencial nga speciet e sjellura (introduktuara) pasi që shumë specie tashmë janë sjellur (introduktuar) në liqenin e Ohrit</w:t>
      </w:r>
      <w:r>
        <w:rPr>
          <w:lang w:val="sq-AL"/>
        </w:rPr>
        <w:t xml:space="preserve">. </w:t>
      </w:r>
    </w:p>
    <w:p>
      <w:pPr>
        <w:rPr>
          <w:b/>
          <w:bCs/>
          <w:lang w:val="sq-AL"/>
        </w:rPr>
      </w:pPr>
      <w:r>
        <w:rPr>
          <w:b/>
          <w:bCs/>
          <w:lang w:val="sq-AL"/>
        </w:rPr>
        <w:t>Alburnoides ohridenaus e marrë mostër në zonat fushore në zonën e lumit Rimnik.</w:t>
      </w:r>
    </w:p>
    <w:p>
      <w:pPr>
        <w:rPr>
          <w:lang w:val="sq-AL"/>
        </w:rPr>
      </w:pPr>
      <w:r>
        <w:rPr>
          <w:lang w:val="sq-AL"/>
        </w:rPr>
        <w:t xml:space="preserve">Speciet Alburnoides tani zbulojnë se kjo specie është më e përhapur (Stierandová et al., 2016). Është një specie e rëndësishme, megjithatë, por meqenëse ka një nishe të gjerë, mund të mbijetojë mirë në një shumëllojshmëri ujërash të ftohtë të rrjedhshëm. Ajo u vu re në ekorajonin e ujërave të ëmbël të Adriatikut Juglindor, i konfirmuar si një pikë e nxehtë e biodiversitetit endemik. </w:t>
      </w:r>
    </w:p>
    <w:p>
      <w:pPr>
        <w:rPr>
          <w:lang w:val="sq-AL"/>
        </w:rPr>
      </w:pPr>
      <w:r>
        <w:rPr>
          <w:noProof/>
        </w:rPr>
        <w:drawing>
          <wp:anchor distT="0" distB="0" distL="114300" distR="114300" simplePos="0" relativeHeight="251661312" behindDoc="1" locked="0" layoutInCell="1" allowOverlap="1">
            <wp:simplePos x="0" y="0"/>
            <wp:positionH relativeFrom="column">
              <wp:posOffset>48895</wp:posOffset>
            </wp:positionH>
            <wp:positionV relativeFrom="paragraph">
              <wp:posOffset>798830</wp:posOffset>
            </wp:positionV>
            <wp:extent cx="2350135" cy="1372870"/>
            <wp:effectExtent l="0" t="0" r="0" b="0"/>
            <wp:wrapTight wrapText="bothSides">
              <wp:wrapPolygon edited="0">
                <wp:start x="0" y="0"/>
                <wp:lineTo x="0" y="21280"/>
                <wp:lineTo x="21361" y="21280"/>
                <wp:lineTo x="21361"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2350135" cy="1372870"/>
                    </a:xfrm>
                    <a:prstGeom prst="rect">
                      <a:avLst/>
                    </a:prstGeom>
                  </pic:spPr>
                </pic:pic>
              </a:graphicData>
            </a:graphic>
            <wp14:sizeRelH relativeFrom="margin">
              <wp14:pctWidth>0</wp14:pctWidth>
            </wp14:sizeRelH>
            <wp14:sizeRelV relativeFrom="margin">
              <wp14:pctHeight>0</wp14:pctHeight>
            </wp14:sizeRelV>
          </wp:anchor>
        </w:drawing>
      </w:r>
      <w:r>
        <w:rPr>
          <w:noProof/>
          <w:lang w:val="sq-AL"/>
        </w:rPr>
        <w:t>Barbatula sturanyiis është një specie peshqish me flatra në formë rrezesh (formë hale) në gjininë Barbatula, rendi Cypriniformes, jeton në burime përgjatë brigjeve të liqejve dhe përrockave me shtresë gurore</w:t>
      </w:r>
      <w:r>
        <w:rPr>
          <w:lang w:val="sq-AL"/>
        </w:rPr>
        <w:t>. Dallohet nga të afërmit e saj në Evropë nga kombinimi i karakteristikave të mëposhtme: tek të rriturit, krahu i mbuluar nga tuberkula të vegjël (të paktën në pranverë), pak i vrazhdë në prekje; flatra kaudale (bishtore) e cunguar; origjina e flatrës dorsale pak përpara origjinës pelvike.</w:t>
      </w:r>
    </w:p>
    <w:p>
      <w:pPr>
        <w:rPr>
          <w:lang w:val="sq-AL"/>
        </w:rPr>
      </w:pPr>
      <w:r>
        <w:rPr>
          <w:lang w:val="sq-AL"/>
        </w:rPr>
        <w:t>Barbatula sturanyi është gjetur vetëm në pjesën e sipërme të segmentit shqiptar të lumit Drini i Zi, ku jeton në habitate gurore dhe me zhavor. Kjo specie jeton edhe në drenazhin e Drinit të Zi në republikën e Maqedonisë së Veriut dhe të Drinit të Bardhë në Kosovë.</w:t>
      </w:r>
    </w:p>
    <w:p>
      <w:pPr>
        <w:rPr>
          <w:lang w:val="sq-AL"/>
        </w:rPr>
      </w:pPr>
    </w:p>
    <w:p>
      <w:pPr>
        <w:rPr>
          <w:b/>
          <w:bCs/>
          <w:lang w:val="sq-AL"/>
        </w:rPr>
      </w:pPr>
      <w:r>
        <w:rPr>
          <w:b/>
          <w:bCs/>
          <w:lang w:val="sq-AL"/>
        </w:rPr>
        <w:t>Barbatula sturanyi e marrë mostër në zonat fushore në Zllakuqan, zona e lumit Istog.</w:t>
      </w:r>
    </w:p>
    <w:p>
      <w:pPr>
        <w:rPr>
          <w:lang w:val="sq-AL"/>
        </w:rPr>
      </w:pPr>
      <w:r>
        <w:rPr>
          <w:lang w:val="sq-AL"/>
        </w:rPr>
        <w:t xml:space="preserve">Rhodeus amarus është e vetmja specie e idhtakut në Evropë, ku shpërndarja e saj është natyrale dhe ku ka qenë e pranishme për të paktën 2 Myr (2 milion vjet). Është një peshk i vogël cyprinid që pësoi rënie të ndjeshme në shpërndarjen e tij gjatë viteve 1970 dhe 1980 dhe më pas u përfshi në shumë lista evropiane të ruajtjes. </w:t>
      </w:r>
    </w:p>
    <w:p>
      <w:pPr>
        <w:rPr>
          <w:lang w:val="sq-AL"/>
        </w:rPr>
      </w:pPr>
      <w:r>
        <w:rPr>
          <w:noProof/>
        </w:rPr>
        <w:drawing>
          <wp:anchor distT="0" distB="0" distL="114300" distR="114300" simplePos="0" relativeHeight="251663360" behindDoc="0" locked="0" layoutInCell="1" allowOverlap="1">
            <wp:simplePos x="0" y="0"/>
            <wp:positionH relativeFrom="column">
              <wp:posOffset>1270</wp:posOffset>
            </wp:positionH>
            <wp:positionV relativeFrom="paragraph">
              <wp:posOffset>59104</wp:posOffset>
            </wp:positionV>
            <wp:extent cx="2315210" cy="1616710"/>
            <wp:effectExtent l="0" t="0" r="8890" b="2540"/>
            <wp:wrapThrough wrapText="bothSides">
              <wp:wrapPolygon edited="0">
                <wp:start x="0" y="0"/>
                <wp:lineTo x="0" y="21379"/>
                <wp:lineTo x="21505" y="21379"/>
                <wp:lineTo x="21505"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15210" cy="16167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Rhodeus amarus është një specie relativisht termofile dhe shtrirja u zgjerua nëpër rajonet e Mesdheut Evropian në periudhat më të ngrohta klimatike të Kuaternarit. Rhodeus amarus nuk është një nikoqir i përshtatshëm i larvave parazitare të midhjeve evropiane, </w:t>
      </w:r>
      <w:r>
        <w:rPr>
          <w:lang w:val="sq-AL"/>
        </w:rPr>
        <w:t>ku larvat e bashkangjitura (si Anodonta ashtu edhe Unio) zakonisht refuzohen brenda ditës së parë të infektimit dhe R. amarus në këtë mënyrë shmang kostot që lidhen me infeksionin e larvave të midhjeve.</w:t>
      </w:r>
    </w:p>
    <w:p>
      <w:pPr>
        <w:rPr>
          <w:lang w:val="sq-AL"/>
        </w:rPr>
      </w:pPr>
    </w:p>
    <w:p>
      <w:pPr>
        <w:rPr>
          <w:lang w:val="sq-AL"/>
        </w:rPr>
      </w:pPr>
    </w:p>
    <w:p>
      <w:pPr>
        <w:rPr>
          <w:b/>
          <w:bCs/>
          <w:lang w:val="sq-AL"/>
        </w:rPr>
      </w:pPr>
      <w:r>
        <w:rPr>
          <w:b/>
          <w:bCs/>
          <w:lang w:val="sq-AL"/>
        </w:rPr>
        <w:t>Rhodeus amarus e marrë mostër në zonat fushore në Zllakuqan, zona e lumit Istog.</w:t>
      </w:r>
    </w:p>
    <w:p>
      <w:pPr>
        <w:rPr>
          <w:lang w:val="sq-AL"/>
        </w:rPr>
      </w:pPr>
      <w:r>
        <w:rPr>
          <w:noProof/>
        </w:rPr>
        <w:drawing>
          <wp:anchor distT="0" distB="0" distL="114300" distR="114300" simplePos="0" relativeHeight="251662336" behindDoc="1" locked="0" layoutInCell="1" allowOverlap="1">
            <wp:simplePos x="0" y="0"/>
            <wp:positionH relativeFrom="margin">
              <wp:posOffset>0</wp:posOffset>
            </wp:positionH>
            <wp:positionV relativeFrom="paragraph">
              <wp:posOffset>52608</wp:posOffset>
            </wp:positionV>
            <wp:extent cx="2121535" cy="1481455"/>
            <wp:effectExtent l="0" t="0" r="0" b="4445"/>
            <wp:wrapTight wrapText="bothSides">
              <wp:wrapPolygon edited="0">
                <wp:start x="0" y="0"/>
                <wp:lineTo x="0" y="21387"/>
                <wp:lineTo x="21335" y="21387"/>
                <wp:lineTo x="21335"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121535" cy="1481455"/>
                    </a:xfrm>
                    <a:prstGeom prst="rect">
                      <a:avLst/>
                    </a:prstGeom>
                  </pic:spPr>
                </pic:pic>
              </a:graphicData>
            </a:graphic>
            <wp14:sizeRelH relativeFrom="margin">
              <wp14:pctWidth>0</wp14:pctWidth>
            </wp14:sizeRelH>
            <wp14:sizeRelV relativeFrom="margin">
              <wp14:pctHeight>0</wp14:pctHeight>
            </wp14:sizeRelV>
          </wp:anchor>
        </w:drawing>
      </w:r>
      <w:r>
        <w:rPr>
          <w:noProof/>
        </w:rPr>
        <w:t>Barbus rebeli/balcanicus është në rendin Cypriniformes, ka shpërndarje në pellgun e Adriatikut, nga drenazhet e Drinit në Aoos, duke përfshirë liqenet e Shkodrës dhe të Ohrit (Mali i Zi, Shqipëria, Republika e Maqedonisë së Veriut, Greqia). Jeton në liqene dhe lumenj. Preferon segmentet me ujë të pastër dhe rrëketë në përrenj dhe lumenj. Është i shpërndarë gjerësisht dhe me bollëk në nivel lokal, por popullatat janë shumë të fragmentuara dhe disa prej tyre po përballen me një kërcënim të mundshëm pasi shumë përrenj të vegjël thahen gjatë verës</w:t>
      </w:r>
      <w:r>
        <w:rPr>
          <w:lang w:val="sq-AL"/>
        </w:rPr>
        <w:t>.</w:t>
      </w:r>
    </w:p>
    <w:p>
      <w:pPr>
        <w:rPr>
          <w:b/>
          <w:bCs/>
          <w:lang w:val="sq-AL"/>
        </w:rPr>
      </w:pPr>
      <w:r>
        <w:rPr>
          <w:b/>
          <w:bCs/>
          <w:lang w:val="sq-AL"/>
        </w:rPr>
        <w:t>Barbus rebeli/balcanicus e marrë mostër në zonat fushore në zonën e lumit Rimnik.</w:t>
      </w:r>
    </w:p>
    <w:p>
      <w:pPr>
        <w:rPr>
          <w:lang w:val="sq-AL"/>
        </w:rPr>
      </w:pPr>
    </w:p>
    <w:p>
      <w:pPr>
        <w:rPr>
          <w:lang w:val="sq-AL"/>
        </w:rPr>
      </w:pPr>
      <w:r>
        <w:rPr>
          <w:lang w:val="sq-AL"/>
        </w:rPr>
        <w:t xml:space="preserve">Përbërja e faunës së peshkut në 10 stacionet e marrjes së mostrave në pellgun e lumit Drini i Bardhë është paraqitur në Shtojcën 13. Një sasi totale prej 178 individësh janë mbledhur në të 10 stacionet siç paraqitet në Figurën 47, ku mund të theksohet bollshmëria më e lartë në zonat fushore si Zllakuqan dhe Zhdrellë. Zllakuqani është stacioni i vetëm me më shumë diversitet se 1 specie. </w:t>
      </w:r>
    </w:p>
    <w:p>
      <w:pPr>
        <w:rPr>
          <w:lang w:val="sq-AL"/>
        </w:rPr>
      </w:pPr>
      <w:r>
        <w:rPr>
          <w:noProof/>
        </w:rPr>
        <w:drawing>
          <wp:inline distT="0" distB="0" distL="0" distR="0">
            <wp:extent cx="3845169" cy="2311362"/>
            <wp:effectExtent l="0" t="0" r="3175" b="0"/>
            <wp:docPr id="401462" name="Picture 4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0126" cy="2314342"/>
                    </a:xfrm>
                    <a:prstGeom prst="rect">
                      <a:avLst/>
                    </a:prstGeom>
                    <a:noFill/>
                  </pic:spPr>
                </pic:pic>
              </a:graphicData>
            </a:graphic>
          </wp:inline>
        </w:drawing>
      </w:r>
    </w:p>
    <w:p>
      <w:pPr>
        <w:rPr>
          <w:b/>
          <w:bCs/>
          <w:lang w:val="sq-AL"/>
        </w:rPr>
      </w:pPr>
      <w:r>
        <w:rPr>
          <w:b/>
          <w:bCs/>
          <w:lang w:val="sq-AL"/>
        </w:rPr>
        <w:t>Bollshmëria e iktiofaunës për stacion</w:t>
      </w:r>
    </w:p>
    <w:p>
      <w:pPr>
        <w:rPr>
          <w:b/>
          <w:bCs/>
          <w:lang w:val="sq-AL"/>
        </w:rPr>
      </w:pPr>
    </w:p>
    <w:p>
      <w:pPr>
        <w:rPr>
          <w:lang w:val="sq-AL"/>
        </w:rPr>
      </w:pPr>
      <w:r>
        <w:rPr>
          <w:noProof/>
        </w:rPr>
        <w:drawing>
          <wp:inline distT="0" distB="0" distL="0" distR="0">
            <wp:extent cx="3815861" cy="2293745"/>
            <wp:effectExtent l="0" t="0" r="0" b="0"/>
            <wp:docPr id="401463" name="Picture 4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7465" cy="2300720"/>
                    </a:xfrm>
                    <a:prstGeom prst="rect">
                      <a:avLst/>
                    </a:prstGeom>
                    <a:noFill/>
                  </pic:spPr>
                </pic:pic>
              </a:graphicData>
            </a:graphic>
          </wp:inline>
        </w:drawing>
      </w:r>
    </w:p>
    <w:p>
      <w:pPr>
        <w:rPr>
          <w:b/>
          <w:bCs/>
          <w:lang w:val="sq-AL"/>
        </w:rPr>
      </w:pPr>
      <w:r>
        <w:rPr>
          <w:b/>
          <w:bCs/>
          <w:lang w:val="sq-AL"/>
        </w:rPr>
        <w:t xml:space="preserve"> Diversiteti i iktiofaunës për stacion</w:t>
      </w:r>
    </w:p>
    <w:p>
      <w:pPr>
        <w:rPr>
          <w:b/>
          <w:bCs/>
          <w:lang w:val="sq-AL"/>
        </w:rPr>
      </w:pPr>
    </w:p>
    <w:p>
      <w:pPr>
        <w:rPr>
          <w:lang w:val="sq-AL"/>
        </w:rPr>
      </w:pPr>
      <w:r>
        <w:rPr>
          <w:lang w:val="sq-AL"/>
        </w:rPr>
        <w:t>In the majoritiy of the stations, Salmo fariodes ëas present but not in Zhdrella ëhere Barbus rebeli/balcanicus ëas the dominant specie. In Zllakuqan different species ëere sampled as it is presented in the Figure 49 ëhere the dominant ëas Alburnoides.</w:t>
      </w:r>
    </w:p>
    <w:p>
      <w:pPr>
        <w:rPr>
          <w:lang w:val="sq-AL"/>
        </w:rPr>
      </w:pPr>
      <w:r>
        <w:rPr>
          <w:noProof/>
        </w:rPr>
        <w:drawing>
          <wp:inline distT="0" distB="0" distL="0" distR="0">
            <wp:extent cx="3815715" cy="2293657"/>
            <wp:effectExtent l="0" t="0" r="0" b="0"/>
            <wp:docPr id="401464" name="Picture 40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8189" cy="2301155"/>
                    </a:xfrm>
                    <a:prstGeom prst="rect">
                      <a:avLst/>
                    </a:prstGeom>
                    <a:noFill/>
                  </pic:spPr>
                </pic:pic>
              </a:graphicData>
            </a:graphic>
          </wp:inline>
        </w:drawing>
      </w:r>
    </w:p>
    <w:p>
      <w:pPr>
        <w:rPr>
          <w:b/>
          <w:bCs/>
          <w:lang w:val="sq-AL"/>
        </w:rPr>
      </w:pPr>
      <w:r>
        <w:rPr>
          <w:b/>
          <w:bCs/>
          <w:lang w:val="sq-AL"/>
        </w:rPr>
        <w:t>Diversiteti i iktiofaunës në stacionin Zllakuqan</w:t>
      </w:r>
    </w:p>
    <w:p>
      <w:pPr>
        <w:rPr>
          <w:b/>
          <w:bCs/>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b/>
          <w:bCs/>
          <w:sz w:val="22"/>
          <w:szCs w:val="22"/>
          <w:lang w:val="sq-AL"/>
        </w:rPr>
      </w:pPr>
      <w:r>
        <w:rPr>
          <w:b/>
          <w:bCs/>
          <w:sz w:val="22"/>
          <w:szCs w:val="22"/>
          <w:lang w:val="sq-AL"/>
        </w:rPr>
        <w:t xml:space="preserve">Përbërja e faunës së peshkut në pellgun e Drinit të Bardhë gjatë udhëtimit në terren në vitin 2018. </w:t>
      </w:r>
    </w:p>
    <w:p>
      <w:pPr>
        <w:rPr>
          <w:sz w:val="22"/>
          <w:szCs w:val="22"/>
          <w:lang w:val="sq-AL"/>
        </w:rPr>
      </w:pPr>
    </w:p>
    <w:tbl>
      <w:tblPr>
        <w:tblW w:w="5000" w:type="pct"/>
        <w:tblLayout w:type="fixed"/>
        <w:tblLook w:val="04A0" w:firstRow="1" w:lastRow="0" w:firstColumn="1" w:lastColumn="0" w:noHBand="0" w:noVBand="1"/>
      </w:tblPr>
      <w:tblGrid>
        <w:gridCol w:w="615"/>
        <w:gridCol w:w="2532"/>
        <w:gridCol w:w="2184"/>
        <w:gridCol w:w="1274"/>
        <w:gridCol w:w="981"/>
        <w:gridCol w:w="2261"/>
      </w:tblGrid>
      <w:tr>
        <w:trPr>
          <w:trHeight w:val="300"/>
          <w:tblHeader/>
        </w:trPr>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pPr>
              <w:rPr>
                <w:b/>
                <w:bCs/>
                <w:sz w:val="22"/>
                <w:szCs w:val="22"/>
                <w:lang w:val="sq-AL"/>
              </w:rPr>
            </w:pPr>
            <w:r>
              <w:rPr>
                <w:b/>
                <w:bCs/>
                <w:sz w:val="22"/>
                <w:szCs w:val="22"/>
                <w:lang w:val="sq-AL"/>
              </w:rPr>
              <w:t>Nr.</w:t>
            </w:r>
          </w:p>
        </w:tc>
        <w:tc>
          <w:tcPr>
            <w:tcW w:w="1285" w:type="pct"/>
            <w:tcBorders>
              <w:top w:val="single" w:sz="4" w:space="0" w:color="auto"/>
              <w:left w:val="nil"/>
              <w:bottom w:val="single" w:sz="4" w:space="0" w:color="auto"/>
              <w:right w:val="single" w:sz="4" w:space="0" w:color="auto"/>
            </w:tcBorders>
            <w:shd w:val="clear" w:color="auto" w:fill="auto"/>
            <w:noWrap/>
            <w:hideMark/>
          </w:tcPr>
          <w:p>
            <w:pPr>
              <w:rPr>
                <w:b/>
                <w:bCs/>
                <w:sz w:val="22"/>
                <w:szCs w:val="22"/>
                <w:lang w:val="sq-AL"/>
              </w:rPr>
            </w:pPr>
            <w:r>
              <w:rPr>
                <w:b/>
                <w:bCs/>
                <w:sz w:val="22"/>
                <w:szCs w:val="22"/>
                <w:lang w:val="sq-AL"/>
              </w:rPr>
              <w:t>Emri i vendit</w:t>
            </w:r>
          </w:p>
        </w:tc>
        <w:tc>
          <w:tcPr>
            <w:tcW w:w="1109" w:type="pct"/>
            <w:tcBorders>
              <w:top w:val="single" w:sz="4" w:space="0" w:color="auto"/>
              <w:left w:val="nil"/>
              <w:bottom w:val="single" w:sz="4" w:space="0" w:color="auto"/>
              <w:right w:val="single" w:sz="4" w:space="0" w:color="auto"/>
            </w:tcBorders>
            <w:shd w:val="clear" w:color="auto" w:fill="auto"/>
            <w:noWrap/>
            <w:hideMark/>
          </w:tcPr>
          <w:p>
            <w:pPr>
              <w:jc w:val="center"/>
              <w:rPr>
                <w:b/>
                <w:bCs/>
                <w:sz w:val="22"/>
                <w:szCs w:val="22"/>
                <w:lang w:val="sq-AL"/>
              </w:rPr>
            </w:pPr>
            <w:r>
              <w:rPr>
                <w:b/>
                <w:bCs/>
                <w:sz w:val="22"/>
                <w:szCs w:val="22"/>
                <w:lang w:val="sq-AL"/>
              </w:rPr>
              <w:t>Speciet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pPr>
              <w:rPr>
                <w:b/>
                <w:bCs/>
                <w:sz w:val="22"/>
                <w:szCs w:val="22"/>
                <w:lang w:val="sq-AL"/>
              </w:rPr>
            </w:pPr>
            <w:r>
              <w:rPr>
                <w:b/>
                <w:bCs/>
                <w:sz w:val="22"/>
                <w:szCs w:val="22"/>
                <w:lang w:val="sq-AL"/>
              </w:rPr>
              <w:t>Gama e gjatësisë</w:t>
            </w:r>
          </w:p>
        </w:tc>
        <w:tc>
          <w:tcPr>
            <w:tcW w:w="498" w:type="pct"/>
            <w:tcBorders>
              <w:top w:val="single" w:sz="4" w:space="0" w:color="auto"/>
              <w:left w:val="nil"/>
              <w:bottom w:val="single" w:sz="4" w:space="0" w:color="auto"/>
              <w:right w:val="single" w:sz="4" w:space="0" w:color="auto"/>
            </w:tcBorders>
            <w:shd w:val="clear" w:color="auto" w:fill="auto"/>
            <w:noWrap/>
            <w:hideMark/>
          </w:tcPr>
          <w:p>
            <w:pPr>
              <w:jc w:val="center"/>
              <w:rPr>
                <w:b/>
                <w:bCs/>
                <w:sz w:val="22"/>
                <w:szCs w:val="22"/>
                <w:lang w:val="sq-AL"/>
              </w:rPr>
            </w:pPr>
            <w:r>
              <w:rPr>
                <w:b/>
                <w:bCs/>
                <w:sz w:val="22"/>
                <w:szCs w:val="22"/>
                <w:lang w:val="sq-AL"/>
              </w:rPr>
              <w:t>Pesha</w:t>
            </w:r>
          </w:p>
        </w:tc>
        <w:tc>
          <w:tcPr>
            <w:tcW w:w="1148" w:type="pct"/>
            <w:tcBorders>
              <w:top w:val="single" w:sz="4" w:space="0" w:color="auto"/>
              <w:left w:val="nil"/>
              <w:bottom w:val="single" w:sz="4" w:space="0" w:color="auto"/>
              <w:right w:val="single" w:sz="4" w:space="0" w:color="auto"/>
            </w:tcBorders>
            <w:shd w:val="clear" w:color="auto" w:fill="auto"/>
            <w:noWrap/>
            <w:hideMark/>
          </w:tcPr>
          <w:p>
            <w:pPr>
              <w:jc w:val="center"/>
              <w:rPr>
                <w:b/>
                <w:bCs/>
                <w:sz w:val="22"/>
                <w:szCs w:val="22"/>
                <w:lang w:val="sq-AL"/>
              </w:rPr>
            </w:pPr>
            <w:r>
              <w:rPr>
                <w:b/>
                <w:bCs/>
                <w:sz w:val="22"/>
                <w:szCs w:val="22"/>
                <w:lang w:val="sq-AL"/>
              </w:rPr>
              <w:t>Anomalitë</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1</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Burimi I lumit Istog</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20</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2</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Radavc</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11</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3</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Lumbardhi i Pejes- Drelaj</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20</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4</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Erenik- Jasiq</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5</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Lumbardhi i Deçanit-Mbi kishë</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6</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Rimnik Zhdrellë- Rahovec</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7</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Brod te Arxhena</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21</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tcBorders>
              <w:top w:val="nil"/>
              <w:left w:val="single" w:sz="4" w:space="0" w:color="auto"/>
              <w:bottom w:val="single" w:sz="4" w:space="0" w:color="auto"/>
              <w:right w:val="single" w:sz="4" w:space="0" w:color="auto"/>
            </w:tcBorders>
            <w:noWrap/>
            <w:hideMark/>
          </w:tcPr>
          <w:p>
            <w:pPr>
              <w:rPr>
                <w:sz w:val="22"/>
                <w:szCs w:val="22"/>
                <w:lang w:val="sq-AL"/>
              </w:rPr>
            </w:pPr>
            <w:r>
              <w:rPr>
                <w:sz w:val="22"/>
                <w:szCs w:val="22"/>
                <w:lang w:val="sq-AL"/>
              </w:rPr>
              <w:t>8</w:t>
            </w:r>
          </w:p>
        </w:tc>
        <w:tc>
          <w:tcPr>
            <w:tcW w:w="1285" w:type="pct"/>
            <w:tcBorders>
              <w:top w:val="nil"/>
              <w:left w:val="nil"/>
              <w:bottom w:val="single" w:sz="4" w:space="0" w:color="auto"/>
              <w:right w:val="single" w:sz="4" w:space="0" w:color="auto"/>
            </w:tcBorders>
            <w:noWrap/>
            <w:hideMark/>
          </w:tcPr>
          <w:p>
            <w:pPr>
              <w:rPr>
                <w:sz w:val="22"/>
                <w:szCs w:val="22"/>
                <w:lang w:val="sq-AL"/>
              </w:rPr>
            </w:pPr>
            <w:r>
              <w:rPr>
                <w:sz w:val="22"/>
                <w:szCs w:val="22"/>
                <w:lang w:val="sq-AL"/>
              </w:rPr>
              <w:t>Lumi Brode afër Vranishte</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9</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Zllakuqan-Lumi Istog</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21</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Barbus rebeli/balcanicus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Rhodeus amarus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Rhodeus amarus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Rhodeus amarus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Rhodeus amarus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Barbatus satyryni</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17,5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Ndryshimet në bishtin dorsal</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17,8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2,7</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7,2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5,6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3,8</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3,3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2,6</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Alburnoides ohrideanus</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0,5</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10</w:t>
            </w:r>
          </w:p>
        </w:tc>
        <w:tc>
          <w:tcPr>
            <w:tcW w:w="1285" w:type="pct"/>
            <w:vMerge w:val="restart"/>
            <w:tcBorders>
              <w:top w:val="nil"/>
              <w:left w:val="single" w:sz="4" w:space="0" w:color="auto"/>
              <w:bottom w:val="single" w:sz="4" w:space="0" w:color="000000"/>
              <w:right w:val="single" w:sz="4" w:space="0" w:color="auto"/>
            </w:tcBorders>
            <w:noWrap/>
            <w:hideMark/>
          </w:tcPr>
          <w:p>
            <w:pPr>
              <w:rPr>
                <w:sz w:val="22"/>
                <w:szCs w:val="22"/>
                <w:lang w:val="sq-AL"/>
              </w:rPr>
            </w:pPr>
            <w:r>
              <w:rPr>
                <w:sz w:val="22"/>
                <w:szCs w:val="22"/>
                <w:lang w:val="sq-AL"/>
              </w:rPr>
              <w:t>Prevallë- Prizren</w:t>
            </w: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257</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24</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180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21</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23</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20</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94</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15,5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42</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10,2</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13</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6</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000000"/>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9,5</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11</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r>
        <w:trPr>
          <w:trHeight w:val="300"/>
        </w:trPr>
        <w:tc>
          <w:tcPr>
            <w:tcW w:w="312" w:type="pct"/>
            <w:vMerge/>
            <w:tcBorders>
              <w:top w:val="nil"/>
              <w:left w:val="single" w:sz="4" w:space="0" w:color="auto"/>
              <w:bottom w:val="single" w:sz="4" w:space="0" w:color="auto"/>
              <w:right w:val="single" w:sz="4" w:space="0" w:color="auto"/>
            </w:tcBorders>
            <w:vAlign w:val="center"/>
            <w:hideMark/>
          </w:tcPr>
          <w:p>
            <w:pPr>
              <w:rPr>
                <w:sz w:val="22"/>
                <w:szCs w:val="22"/>
                <w:lang w:val="sq-AL"/>
              </w:rPr>
            </w:pPr>
          </w:p>
        </w:tc>
        <w:tc>
          <w:tcPr>
            <w:tcW w:w="1285" w:type="pct"/>
            <w:vMerge/>
            <w:tcBorders>
              <w:top w:val="nil"/>
              <w:left w:val="single" w:sz="4" w:space="0" w:color="auto"/>
              <w:bottom w:val="single" w:sz="4" w:space="0" w:color="auto"/>
              <w:right w:val="single" w:sz="4" w:space="0" w:color="auto"/>
            </w:tcBorders>
            <w:vAlign w:val="center"/>
            <w:hideMark/>
          </w:tcPr>
          <w:p>
            <w:pPr>
              <w:rPr>
                <w:sz w:val="22"/>
                <w:szCs w:val="22"/>
                <w:lang w:val="sq-AL"/>
              </w:rPr>
            </w:pPr>
          </w:p>
        </w:tc>
        <w:tc>
          <w:tcPr>
            <w:tcW w:w="1109"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xml:space="preserve">Salmo fariodes </w:t>
            </w:r>
          </w:p>
        </w:tc>
        <w:tc>
          <w:tcPr>
            <w:tcW w:w="647"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8,9</w:t>
            </w:r>
          </w:p>
        </w:tc>
        <w:tc>
          <w:tcPr>
            <w:tcW w:w="49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10</w:t>
            </w:r>
          </w:p>
        </w:tc>
        <w:tc>
          <w:tcPr>
            <w:tcW w:w="1148" w:type="pct"/>
            <w:tcBorders>
              <w:top w:val="nil"/>
              <w:left w:val="nil"/>
              <w:bottom w:val="single" w:sz="4" w:space="0" w:color="auto"/>
              <w:right w:val="single" w:sz="4" w:space="0" w:color="auto"/>
            </w:tcBorders>
            <w:noWrap/>
            <w:vAlign w:val="bottom"/>
            <w:hideMark/>
          </w:tcPr>
          <w:p>
            <w:pPr>
              <w:rPr>
                <w:sz w:val="22"/>
                <w:szCs w:val="22"/>
                <w:lang w:val="sq-AL"/>
              </w:rPr>
            </w:pPr>
            <w:r>
              <w:rPr>
                <w:sz w:val="22"/>
                <w:szCs w:val="22"/>
                <w:lang w:val="sq-AL"/>
              </w:rPr>
              <w:t> </w:t>
            </w:r>
          </w:p>
        </w:tc>
      </w:tr>
    </w:tbl>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b/>
          <w:bCs/>
          <w:sz w:val="36"/>
          <w:szCs w:val="36"/>
          <w:lang w:val="sq-AL"/>
        </w:rPr>
      </w:pPr>
      <w:r>
        <w:rPr>
          <w:b/>
          <w:bCs/>
          <w:sz w:val="36"/>
          <w:szCs w:val="36"/>
          <w:lang w:val="sq-AL"/>
        </w:rPr>
        <w:t xml:space="preserve">SHTOJCA 13B. Përbërja e makroinvertebrorëve në pellgun e lumit Drini i Bardhë gjatë fushatës kërkimore në terren në vitin 2018. </w:t>
      </w: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jc w:val="center"/>
        <w:rPr>
          <w:lang w:val="sq-AL"/>
        </w:rPr>
      </w:pPr>
      <w:r>
        <w:rPr>
          <w:noProof/>
        </w:rPr>
        <w:drawing>
          <wp:inline distT="0" distB="0" distL="0" distR="0">
            <wp:extent cx="4865551" cy="2362200"/>
            <wp:effectExtent l="0" t="0" r="0" b="0"/>
            <wp:docPr id="14" name="Chart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880600" cy="2369506"/>
                    </a:xfrm>
                    <a:prstGeom prst="rect">
                      <a:avLst/>
                    </a:prstGeom>
                    <a:noFill/>
                    <a:ln>
                      <a:noFill/>
                    </a:ln>
                  </pic:spPr>
                </pic:pic>
              </a:graphicData>
            </a:graphic>
          </wp:inline>
        </w:drawing>
      </w:r>
    </w:p>
    <w:p>
      <w:pPr>
        <w:jc w:val="center"/>
        <w:rPr>
          <w:b/>
          <w:bCs/>
          <w:lang w:val="sq-AL"/>
        </w:rPr>
      </w:pPr>
      <w:bookmarkStart w:id="1" w:name="_Toc524367251"/>
      <w:r>
        <w:rPr>
          <w:b/>
          <w:bCs/>
          <w:lang w:val="sq-AL"/>
        </w:rPr>
        <w:t>Numri i taksave (familjeve) të makroinvertebrorëve për zonë (kushtet e referencës RC) në pellgun e lumit Drini i Bardhë në pranverë, 2018.</w:t>
      </w:r>
      <w:bookmarkEnd w:id="1"/>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sz w:val="22"/>
          <w:szCs w:val="22"/>
          <w:lang w:val="sq-AL"/>
        </w:rPr>
      </w:pPr>
    </w:p>
    <w:p>
      <w:pPr>
        <w:rPr>
          <w:b/>
          <w:bCs/>
          <w:sz w:val="20"/>
          <w:lang w:val="sq-AL"/>
        </w:rPr>
      </w:pPr>
      <w:r>
        <w:rPr>
          <w:b/>
          <w:bCs/>
          <w:sz w:val="20"/>
          <w:lang w:val="sq-AL"/>
        </w:rPr>
        <w:t>Klasifikimi i statusit ekologjik bazuar në propozimin duke përdorur lokacionet e marrjes së mostrave në Drinin e Bardhë (janë përdorur të dhënat e pranverës së vitit 2018))</w:t>
      </w:r>
    </w:p>
    <w:p>
      <w:pPr>
        <w:rPr>
          <w:sz w:val="22"/>
          <w:szCs w:val="22"/>
          <w:lang w:val="sq-AL"/>
        </w:rPr>
      </w:pPr>
    </w:p>
    <w:p>
      <w:pPr>
        <w:rPr>
          <w:sz w:val="22"/>
          <w:szCs w:val="22"/>
          <w:lang w:val="sq-AL"/>
        </w:rPr>
      </w:pPr>
    </w:p>
    <w:p>
      <w:pPr>
        <w:rPr>
          <w:sz w:val="22"/>
          <w:szCs w:val="22"/>
          <w:lang w:val="sq-AL"/>
        </w:rPr>
      </w:pPr>
    </w:p>
    <w:tbl>
      <w:tblPr>
        <w:tblW w:w="5000" w:type="pct"/>
        <w:tblLook w:val="04A0" w:firstRow="1" w:lastRow="0" w:firstColumn="1" w:lastColumn="0" w:noHBand="0" w:noVBand="1"/>
      </w:tblPr>
      <w:tblGrid>
        <w:gridCol w:w="2217"/>
        <w:gridCol w:w="1105"/>
        <w:gridCol w:w="791"/>
        <w:gridCol w:w="879"/>
        <w:gridCol w:w="887"/>
        <w:gridCol w:w="987"/>
        <w:gridCol w:w="1773"/>
        <w:gridCol w:w="1208"/>
      </w:tblGrid>
      <w:tr>
        <w:trPr>
          <w:trHeight w:val="1215"/>
        </w:trPr>
        <w:tc>
          <w:tcPr>
            <w:tcW w:w="1293"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Lumi</w:t>
            </w:r>
          </w:p>
        </w:tc>
        <w:tc>
          <w:tcPr>
            <w:tcW w:w="537"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Bollshmëria  [ind/m²]</w:t>
            </w:r>
          </w:p>
        </w:tc>
        <w:tc>
          <w:tcPr>
            <w:tcW w:w="485"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Numri i taksave</w:t>
            </w:r>
          </w:p>
        </w:tc>
        <w:tc>
          <w:tcPr>
            <w:tcW w:w="457"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Rezultati mesatar për takson</w:t>
            </w:r>
          </w:p>
        </w:tc>
        <w:tc>
          <w:tcPr>
            <w:tcW w:w="461"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Rezultati BMËP   RT18 (Versioni spanjoll)</w:t>
            </w:r>
          </w:p>
        </w:tc>
        <w:tc>
          <w:tcPr>
            <w:tcW w:w="485"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Rezultatet fiziko-kimike</w:t>
            </w:r>
          </w:p>
        </w:tc>
        <w:tc>
          <w:tcPr>
            <w:tcW w:w="798"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Rezultati cilësor HM</w:t>
            </w:r>
          </w:p>
        </w:tc>
        <w:tc>
          <w:tcPr>
            <w:tcW w:w="484" w:type="pct"/>
            <w:tcBorders>
              <w:top w:val="single" w:sz="8" w:space="0" w:color="auto"/>
              <w:left w:val="nil"/>
              <w:bottom w:val="nil"/>
              <w:right w:val="single" w:sz="8" w:space="0" w:color="auto"/>
            </w:tcBorders>
            <w:shd w:val="clear" w:color="000000" w:fill="D9D9D9"/>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Statusi i  përgjithshëm ekologjik</w:t>
            </w:r>
          </w:p>
        </w:tc>
      </w:tr>
      <w:tr>
        <w:trPr>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 xml:space="preserve">Radavc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36</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w:t>
            </w:r>
          </w:p>
        </w:tc>
        <w:tc>
          <w:tcPr>
            <w:tcW w:w="457" w:type="pct"/>
            <w:tcBorders>
              <w:top w:val="single" w:sz="4" w:space="0" w:color="auto"/>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7</w:t>
            </w:r>
          </w:p>
        </w:tc>
        <w:tc>
          <w:tcPr>
            <w:tcW w:w="461" w:type="pct"/>
            <w:tcBorders>
              <w:top w:val="single" w:sz="4" w:space="0" w:color="auto"/>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16</w:t>
            </w:r>
          </w:p>
        </w:tc>
        <w:tc>
          <w:tcPr>
            <w:tcW w:w="485" w:type="pct"/>
            <w:tcBorders>
              <w:top w:val="single" w:sz="8" w:space="0" w:color="auto"/>
              <w:left w:val="nil"/>
              <w:bottom w:val="nil"/>
              <w:right w:val="single" w:sz="8"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commentRangeStart w:id="2"/>
            <w:r>
              <w:rPr>
                <w:rFonts w:ascii="Calibri" w:eastAsia="Times New Roman" w:hAnsi="Calibri" w:cs="Calibri"/>
                <w:color w:val="000000"/>
                <w:lang w:val="sq-AL" w:eastAsia="en-GB"/>
              </w:rPr>
              <w:t>Lower that High</w:t>
            </w:r>
            <w:commentRangeEnd w:id="2"/>
            <w:r>
              <w:rPr>
                <w:rStyle w:val="CommentReference"/>
                <w:rFonts w:ascii="Times New Roman" w:eastAsia="Times New Roman" w:hAnsi="Times New Roman" w:cs="Times New Roman"/>
                <w:lang w:eastAsia="ar-SA"/>
              </w:rPr>
              <w:commentReference w:id="2"/>
            </w:r>
          </w:p>
        </w:tc>
        <w:tc>
          <w:tcPr>
            <w:tcW w:w="484" w:type="pct"/>
            <w:tcBorders>
              <w:top w:val="single" w:sz="4" w:space="0" w:color="auto"/>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00"/>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Drobrushte</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4</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w:t>
            </w:r>
          </w:p>
        </w:tc>
        <w:tc>
          <w:tcPr>
            <w:tcW w:w="457"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5,3</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16</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Burim - Istog</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339</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11</w:t>
            </w:r>
          </w:p>
        </w:tc>
        <w:tc>
          <w:tcPr>
            <w:tcW w:w="457" w:type="pct"/>
            <w:tcBorders>
              <w:top w:val="nil"/>
              <w:left w:val="nil"/>
              <w:bottom w:val="single" w:sz="4" w:space="0" w:color="auto"/>
              <w:right w:val="single" w:sz="4" w:space="0" w:color="auto"/>
            </w:tcBorders>
            <w:shd w:val="clear" w:color="auto"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7</w:t>
            </w:r>
          </w:p>
        </w:tc>
        <w:tc>
          <w:tcPr>
            <w:tcW w:w="461"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69</w:t>
            </w:r>
          </w:p>
        </w:tc>
        <w:tc>
          <w:tcPr>
            <w:tcW w:w="485" w:type="pct"/>
            <w:tcBorders>
              <w:top w:val="nil"/>
              <w:left w:val="nil"/>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798" w:type="pct"/>
            <w:tcBorders>
              <w:top w:val="nil"/>
              <w:left w:val="nil"/>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0070C0"/>
            <w:noWrap/>
            <w:vAlign w:val="center"/>
            <w:hideMark/>
          </w:tcPr>
          <w:p>
            <w:pPr>
              <w:jc w:val="center"/>
              <w:rPr>
                <w:rFonts w:ascii="Calibri" w:eastAsia="Times New Roman" w:hAnsi="Calibri" w:cs="Calibri"/>
                <w:color w:val="000000"/>
                <w:lang w:val="sq-AL" w:eastAsia="en-GB"/>
              </w:rPr>
            </w:pPr>
            <w:r>
              <w:rPr>
                <w:rFonts w:ascii="Calibri" w:hAnsi="Calibri" w:cs="Calibri"/>
                <w:b/>
                <w:bCs/>
                <w:color w:val="000000"/>
                <w:sz w:val="18"/>
                <w:szCs w:val="18"/>
                <w:lang w:val="sq-AL"/>
              </w:rPr>
              <w:t>I lartë i mirë</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Brod</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70</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7</w:t>
            </w:r>
          </w:p>
        </w:tc>
        <w:tc>
          <w:tcPr>
            <w:tcW w:w="457"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5,5</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39</w:t>
            </w:r>
          </w:p>
        </w:tc>
        <w:tc>
          <w:tcPr>
            <w:tcW w:w="485" w:type="pct"/>
            <w:tcBorders>
              <w:top w:val="single" w:sz="8" w:space="0" w:color="auto"/>
              <w:left w:val="nil"/>
              <w:bottom w:val="single" w:sz="8" w:space="0" w:color="auto"/>
              <w:right w:val="single" w:sz="8"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798" w:type="pct"/>
            <w:tcBorders>
              <w:top w:val="nil"/>
              <w:left w:val="single" w:sz="4" w:space="0" w:color="auto"/>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Kralan-Grykëderdhje</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28</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6,75</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31</w:t>
            </w:r>
          </w:p>
        </w:tc>
        <w:tc>
          <w:tcPr>
            <w:tcW w:w="485"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single" w:sz="8" w:space="0" w:color="auto"/>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hAnsi="Calibri" w:cs="Calibri"/>
                <w:b/>
                <w:bCs/>
                <w:color w:val="000000"/>
                <w:sz w:val="18"/>
                <w:szCs w:val="18"/>
                <w:lang w:val="sq-AL"/>
              </w:rPr>
              <w:t>Moderuar</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Mirushë</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209</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6,2</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31</w:t>
            </w:r>
          </w:p>
        </w:tc>
        <w:tc>
          <w:tcPr>
            <w:tcW w:w="485"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hAnsi="Calibri" w:cs="Calibri"/>
                <w:b/>
                <w:bCs/>
                <w:color w:val="000000"/>
                <w:sz w:val="18"/>
                <w:szCs w:val="18"/>
                <w:lang w:val="sq-AL"/>
              </w:rPr>
              <w:t>Moderuar</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Drelaj</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15</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8,3</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39</w:t>
            </w:r>
          </w:p>
        </w:tc>
        <w:tc>
          <w:tcPr>
            <w:tcW w:w="485" w:type="pct"/>
            <w:tcBorders>
              <w:top w:val="nil"/>
              <w:left w:val="nil"/>
              <w:bottom w:val="single" w:sz="8" w:space="0" w:color="auto"/>
              <w:right w:val="single" w:sz="8"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single" w:sz="4" w:space="0" w:color="auto"/>
              <w:left w:val="nil"/>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hAnsi="Calibri" w:cs="Calibri"/>
                <w:b/>
                <w:bCs/>
                <w:color w:val="000000"/>
                <w:sz w:val="18"/>
                <w:szCs w:val="18"/>
                <w:lang w:val="sq-AL"/>
              </w:rPr>
              <w:t>I lartë i mirë</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LumiiI Deçanit mbi kishë</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13</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10</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24</w:t>
            </w:r>
          </w:p>
        </w:tc>
        <w:tc>
          <w:tcPr>
            <w:tcW w:w="485" w:type="pct"/>
            <w:tcBorders>
              <w:top w:val="single" w:sz="4" w:space="0" w:color="auto"/>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II</w:t>
            </w:r>
          </w:p>
        </w:tc>
        <w:tc>
          <w:tcPr>
            <w:tcW w:w="798" w:type="pct"/>
            <w:tcBorders>
              <w:top w:val="nil"/>
              <w:left w:val="nil"/>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Ura eTerzive</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12</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w:t>
            </w:r>
          </w:p>
        </w:tc>
        <w:tc>
          <w:tcPr>
            <w:tcW w:w="457"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5,2</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26</w:t>
            </w:r>
          </w:p>
        </w:tc>
        <w:tc>
          <w:tcPr>
            <w:tcW w:w="485" w:type="pct"/>
            <w:tcBorders>
              <w:top w:val="single" w:sz="8" w:space="0" w:color="auto"/>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Lumi i Plavës</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14</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4</w:t>
            </w:r>
          </w:p>
        </w:tc>
        <w:tc>
          <w:tcPr>
            <w:tcW w:w="457" w:type="pct"/>
            <w:tcBorders>
              <w:top w:val="nil"/>
              <w:left w:val="nil"/>
              <w:bottom w:val="single" w:sz="4" w:space="0" w:color="auto"/>
              <w:right w:val="single" w:sz="4" w:space="0" w:color="auto"/>
            </w:tcBorders>
            <w:shd w:val="clear" w:color="000000" w:fill="FF0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2.5</w:t>
            </w:r>
          </w:p>
        </w:tc>
        <w:tc>
          <w:tcPr>
            <w:tcW w:w="461" w:type="pct"/>
            <w:tcBorders>
              <w:top w:val="nil"/>
              <w:left w:val="nil"/>
              <w:bottom w:val="single" w:sz="4" w:space="0" w:color="auto"/>
              <w:right w:val="single" w:sz="4" w:space="0" w:color="auto"/>
            </w:tcBorders>
            <w:shd w:val="clear" w:color="000000" w:fill="FF0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10</w:t>
            </w:r>
          </w:p>
        </w:tc>
        <w:tc>
          <w:tcPr>
            <w:tcW w:w="485" w:type="pct"/>
            <w:tcBorders>
              <w:top w:val="single" w:sz="4" w:space="0" w:color="auto"/>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II</w:t>
            </w:r>
          </w:p>
        </w:tc>
        <w:tc>
          <w:tcPr>
            <w:tcW w:w="798" w:type="pct"/>
            <w:tcBorders>
              <w:top w:val="nil"/>
              <w:left w:val="nil"/>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0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Keq</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Vlashnje</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10</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4</w:t>
            </w:r>
          </w:p>
        </w:tc>
        <w:tc>
          <w:tcPr>
            <w:tcW w:w="457"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4,5</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18</w:t>
            </w:r>
          </w:p>
        </w:tc>
        <w:tc>
          <w:tcPr>
            <w:tcW w:w="485" w:type="pct"/>
            <w:tcBorders>
              <w:top w:val="single" w:sz="8" w:space="0" w:color="auto"/>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Zhdrella</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13</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6</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7</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38</w:t>
            </w:r>
          </w:p>
        </w:tc>
        <w:tc>
          <w:tcPr>
            <w:tcW w:w="485"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single" w:sz="8" w:space="0" w:color="auto"/>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hAnsi="Calibri" w:cs="Calibri"/>
                <w:b/>
                <w:bCs/>
                <w:color w:val="000000"/>
                <w:sz w:val="18"/>
                <w:szCs w:val="18"/>
                <w:lang w:val="sq-AL"/>
              </w:rPr>
              <w:t>Moderuar</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Toplluha</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39</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6,6</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20</w:t>
            </w:r>
          </w:p>
        </w:tc>
        <w:tc>
          <w:tcPr>
            <w:tcW w:w="485"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single" w:sz="4" w:space="0" w:color="auto"/>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Jasiq-Erenik</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52</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6</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7,25</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33</w:t>
            </w:r>
          </w:p>
        </w:tc>
        <w:tc>
          <w:tcPr>
            <w:tcW w:w="485" w:type="pct"/>
            <w:tcBorders>
              <w:top w:val="nil"/>
              <w:left w:val="nil"/>
              <w:bottom w:val="single" w:sz="8" w:space="0" w:color="auto"/>
              <w:right w:val="single" w:sz="8"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798" w:type="pct"/>
            <w:tcBorders>
              <w:top w:val="nil"/>
              <w:left w:val="single" w:sz="4" w:space="0" w:color="auto"/>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484" w:type="pct"/>
            <w:tcBorders>
              <w:top w:val="nil"/>
              <w:left w:val="nil"/>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hAnsi="Calibri" w:cs="Calibri"/>
                <w:b/>
                <w:bCs/>
                <w:color w:val="000000"/>
                <w:sz w:val="18"/>
                <w:szCs w:val="18"/>
                <w:lang w:val="sq-AL"/>
              </w:rPr>
              <w:t>I lartë i mirë</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Klinë-dalje te ura</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54</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4</w:t>
            </w:r>
          </w:p>
        </w:tc>
        <w:tc>
          <w:tcPr>
            <w:tcW w:w="457"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5,5</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22</w:t>
            </w:r>
          </w:p>
        </w:tc>
        <w:tc>
          <w:tcPr>
            <w:tcW w:w="485"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Lumbardhi i Pejes</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21</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w:t>
            </w:r>
          </w:p>
        </w:tc>
        <w:tc>
          <w:tcPr>
            <w:tcW w:w="457"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w:t>
            </w:r>
          </w:p>
        </w:tc>
        <w:tc>
          <w:tcPr>
            <w:tcW w:w="461"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24</w:t>
            </w:r>
          </w:p>
        </w:tc>
        <w:tc>
          <w:tcPr>
            <w:tcW w:w="485" w:type="pct"/>
            <w:tcBorders>
              <w:top w:val="nil"/>
              <w:left w:val="nil"/>
              <w:bottom w:val="single" w:sz="8" w:space="0" w:color="auto"/>
              <w:right w:val="single" w:sz="8" w:space="0" w:color="auto"/>
            </w:tcBorders>
            <w:shd w:val="clear" w:color="000000" w:fill="FFFF00"/>
            <w:vAlign w:val="center"/>
            <w:hideMark/>
          </w:tcPr>
          <w:p>
            <w:pPr>
              <w:jc w:val="center"/>
              <w:rPr>
                <w:rFonts w:ascii="Calibri" w:eastAsia="Times New Roman" w:hAnsi="Calibri" w:cs="Calibri"/>
                <w:b/>
                <w:bCs/>
                <w:color w:val="000000"/>
                <w:lang w:val="sq-AL" w:eastAsia="en-GB"/>
              </w:rPr>
            </w:pPr>
            <w:r>
              <w:rPr>
                <w:rFonts w:ascii="Calibri" w:eastAsia="Times New Roman" w:hAnsi="Calibri" w:cs="Calibri"/>
                <w:b/>
                <w:bCs/>
                <w:color w:val="000000"/>
                <w:lang w:val="sq-AL" w:eastAsia="en-GB"/>
              </w:rPr>
              <w:t>III</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Dobët</w:t>
            </w:r>
          </w:p>
        </w:tc>
      </w:tr>
      <w:tr>
        <w:trPr>
          <w:trHeight w:val="315"/>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Prevallë</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52</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7</w:t>
            </w:r>
          </w:p>
        </w:tc>
        <w:tc>
          <w:tcPr>
            <w:tcW w:w="457"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5,5</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43</w:t>
            </w:r>
          </w:p>
        </w:tc>
        <w:tc>
          <w:tcPr>
            <w:tcW w:w="485" w:type="pct"/>
            <w:tcBorders>
              <w:top w:val="nil"/>
              <w:left w:val="nil"/>
              <w:bottom w:val="single" w:sz="8" w:space="0" w:color="auto"/>
              <w:right w:val="single" w:sz="8"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798" w:type="pct"/>
            <w:tcBorders>
              <w:top w:val="nil"/>
              <w:left w:val="single" w:sz="4" w:space="0" w:color="auto"/>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Moderuar</w:t>
            </w:r>
          </w:p>
        </w:tc>
      </w:tr>
      <w:tr>
        <w:trPr>
          <w:trHeight w:val="300"/>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Burimi i lumit Brod</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16</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5</w:t>
            </w:r>
          </w:p>
        </w:tc>
        <w:tc>
          <w:tcPr>
            <w:tcW w:w="457"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w:t>
            </w:r>
          </w:p>
        </w:tc>
        <w:tc>
          <w:tcPr>
            <w:tcW w:w="461" w:type="pct"/>
            <w:tcBorders>
              <w:top w:val="nil"/>
              <w:left w:val="nil"/>
              <w:bottom w:val="single" w:sz="4" w:space="0" w:color="auto"/>
              <w:right w:val="single" w:sz="4" w:space="0" w:color="auto"/>
            </w:tcBorders>
            <w:shd w:val="clear" w:color="000000" w:fill="FF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30</w:t>
            </w:r>
          </w:p>
        </w:tc>
        <w:tc>
          <w:tcPr>
            <w:tcW w:w="485" w:type="pct"/>
            <w:tcBorders>
              <w:top w:val="single" w:sz="4" w:space="0" w:color="auto"/>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II</w:t>
            </w:r>
          </w:p>
        </w:tc>
        <w:tc>
          <w:tcPr>
            <w:tcW w:w="798" w:type="pct"/>
            <w:tcBorders>
              <w:top w:val="nil"/>
              <w:left w:val="nil"/>
              <w:bottom w:val="single" w:sz="4" w:space="0" w:color="auto"/>
              <w:right w:val="single" w:sz="4" w:space="0" w:color="auto"/>
            </w:tcBorders>
            <w:shd w:val="clear" w:color="auto" w:fill="auto"/>
            <w:noWrap/>
            <w:vAlign w:val="bottom"/>
            <w:hideMark/>
          </w:tcPr>
          <w:p>
            <w:pPr>
              <w:rPr>
                <w:rFonts w:ascii="Calibri" w:eastAsia="Times New Roman" w:hAnsi="Calibri" w:cs="Calibri"/>
                <w:color w:val="000000"/>
                <w:lang w:val="sq-AL" w:eastAsia="en-GB"/>
              </w:rPr>
            </w:pPr>
            <w:r>
              <w:rPr>
                <w:rFonts w:ascii="Calibri" w:eastAsia="Times New Roman" w:hAnsi="Calibri" w:cs="Calibri"/>
                <w:color w:val="000000"/>
                <w:lang w:val="sq-AL" w:eastAsia="en-GB"/>
              </w:rPr>
              <w:t>Lower that High</w:t>
            </w:r>
          </w:p>
        </w:tc>
        <w:tc>
          <w:tcPr>
            <w:tcW w:w="484" w:type="pct"/>
            <w:tcBorders>
              <w:top w:val="nil"/>
              <w:left w:val="nil"/>
              <w:bottom w:val="single" w:sz="4" w:space="0" w:color="auto"/>
              <w:right w:val="single" w:sz="4" w:space="0" w:color="auto"/>
            </w:tcBorders>
            <w:shd w:val="clear" w:color="000000" w:fill="FFC0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Moderuar</w:t>
            </w:r>
          </w:p>
        </w:tc>
      </w:tr>
      <w:tr>
        <w:trPr>
          <w:trHeight w:val="300"/>
        </w:trPr>
        <w:tc>
          <w:tcPr>
            <w:tcW w:w="1293"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Lumi Istog</w:t>
            </w:r>
          </w:p>
        </w:tc>
        <w:tc>
          <w:tcPr>
            <w:tcW w:w="537"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372</w:t>
            </w:r>
          </w:p>
        </w:tc>
        <w:tc>
          <w:tcPr>
            <w:tcW w:w="485" w:type="pct"/>
            <w:tcBorders>
              <w:top w:val="nil"/>
              <w:left w:val="nil"/>
              <w:bottom w:val="single" w:sz="4" w:space="0" w:color="auto"/>
              <w:right w:val="single" w:sz="4" w:space="0" w:color="auto"/>
            </w:tcBorders>
            <w:shd w:val="clear" w:color="auto" w:fill="auto"/>
            <w:noWrap/>
            <w:vAlign w:val="center"/>
            <w:hideMark/>
          </w:tcPr>
          <w:p>
            <w:pPr>
              <w:jc w:val="center"/>
              <w:rPr>
                <w:rFonts w:ascii="Calibri" w:eastAsia="Times New Roman" w:hAnsi="Calibri" w:cs="Calibri"/>
                <w:color w:val="000000"/>
                <w:sz w:val="18"/>
                <w:szCs w:val="18"/>
                <w:lang w:val="sq-AL" w:eastAsia="en-GB"/>
              </w:rPr>
            </w:pPr>
            <w:r>
              <w:rPr>
                <w:rFonts w:ascii="Calibri" w:eastAsia="Times New Roman" w:hAnsi="Calibri" w:cs="Calibri"/>
                <w:color w:val="000000"/>
                <w:sz w:val="18"/>
                <w:szCs w:val="18"/>
                <w:lang w:val="sq-AL" w:eastAsia="en-GB"/>
              </w:rPr>
              <w:t>6</w:t>
            </w:r>
          </w:p>
        </w:tc>
        <w:tc>
          <w:tcPr>
            <w:tcW w:w="457" w:type="pct"/>
            <w:tcBorders>
              <w:top w:val="nil"/>
              <w:left w:val="nil"/>
              <w:bottom w:val="single" w:sz="4" w:space="0" w:color="auto"/>
              <w:right w:val="single" w:sz="4" w:space="0" w:color="auto"/>
            </w:tcBorders>
            <w:shd w:val="clear" w:color="000000" w:fill="0000FF"/>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9,2</w:t>
            </w:r>
          </w:p>
        </w:tc>
        <w:tc>
          <w:tcPr>
            <w:tcW w:w="461"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50</w:t>
            </w:r>
          </w:p>
        </w:tc>
        <w:tc>
          <w:tcPr>
            <w:tcW w:w="485"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eastAsia="Times New Roman" w:hAnsi="Calibri" w:cs="Calibri"/>
                <w:b/>
                <w:bCs/>
                <w:color w:val="000000"/>
                <w:sz w:val="18"/>
                <w:szCs w:val="18"/>
                <w:lang w:val="sq-AL" w:eastAsia="en-GB"/>
              </w:rPr>
              <w:t>II</w:t>
            </w:r>
          </w:p>
        </w:tc>
        <w:tc>
          <w:tcPr>
            <w:tcW w:w="798" w:type="pct"/>
            <w:tcBorders>
              <w:top w:val="nil"/>
              <w:left w:val="nil"/>
              <w:bottom w:val="single" w:sz="4" w:space="0" w:color="auto"/>
              <w:right w:val="single" w:sz="4" w:space="0" w:color="auto"/>
            </w:tcBorders>
            <w:shd w:val="clear" w:color="auto" w:fill="0000FF"/>
            <w:noWrap/>
            <w:vAlign w:val="center"/>
            <w:hideMark/>
          </w:tcPr>
          <w:p>
            <w:pPr>
              <w:jc w:val="center"/>
              <w:rPr>
                <w:rFonts w:ascii="Calibri" w:eastAsia="Times New Roman" w:hAnsi="Calibri" w:cs="Calibri"/>
                <w:color w:val="000000"/>
                <w:lang w:val="sq-AL" w:eastAsia="en-GB"/>
              </w:rPr>
            </w:pPr>
            <w:r>
              <w:rPr>
                <w:rFonts w:ascii="Calibri" w:eastAsia="Times New Roman" w:hAnsi="Calibri" w:cs="Calibri"/>
                <w:color w:val="000000"/>
                <w:lang w:val="sq-AL" w:eastAsia="en-GB"/>
              </w:rPr>
              <w:t>I</w:t>
            </w:r>
          </w:p>
        </w:tc>
        <w:tc>
          <w:tcPr>
            <w:tcW w:w="484" w:type="pct"/>
            <w:tcBorders>
              <w:top w:val="nil"/>
              <w:left w:val="nil"/>
              <w:bottom w:val="single" w:sz="4" w:space="0" w:color="auto"/>
              <w:right w:val="single" w:sz="4" w:space="0" w:color="auto"/>
            </w:tcBorders>
            <w:shd w:val="clear" w:color="000000" w:fill="00FF00"/>
            <w:vAlign w:val="center"/>
            <w:hideMark/>
          </w:tcPr>
          <w:p>
            <w:pPr>
              <w:jc w:val="center"/>
              <w:rPr>
                <w:rFonts w:ascii="Calibri" w:eastAsia="Times New Roman" w:hAnsi="Calibri" w:cs="Calibri"/>
                <w:b/>
                <w:bCs/>
                <w:color w:val="000000"/>
                <w:sz w:val="18"/>
                <w:szCs w:val="18"/>
                <w:lang w:val="sq-AL" w:eastAsia="en-GB"/>
              </w:rPr>
            </w:pPr>
            <w:r>
              <w:rPr>
                <w:rFonts w:ascii="Calibri" w:hAnsi="Calibri" w:cs="Calibri"/>
                <w:b/>
                <w:bCs/>
                <w:color w:val="000000"/>
                <w:sz w:val="18"/>
                <w:szCs w:val="18"/>
                <w:lang w:val="sq-AL"/>
              </w:rPr>
              <w:t>Mirë</w:t>
            </w:r>
          </w:p>
        </w:tc>
      </w:tr>
    </w:tbl>
    <w:p>
      <w:pPr>
        <w:rPr>
          <w:sz w:val="22"/>
          <w:szCs w:val="22"/>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20"/>
          <w:lang w:val="sq-AL"/>
        </w:rPr>
      </w:pPr>
    </w:p>
    <w:p>
      <w:pPr>
        <w:rPr>
          <w:b/>
          <w:bCs/>
          <w:sz w:val="36"/>
          <w:szCs w:val="36"/>
          <w:lang w:val="sq-AL"/>
        </w:rPr>
      </w:pPr>
      <w:r>
        <w:rPr>
          <w:b/>
          <w:bCs/>
          <w:sz w:val="36"/>
          <w:szCs w:val="36"/>
          <w:lang w:val="sq-AL"/>
        </w:rPr>
        <w:t xml:space="preserve">SHTOJCA 13C. Përbërja e makroinvertebrorëve dhe diatomeve në pesë lokalitete të pellgut të lumit Drini i Bardhë, të dhënat e fushatave kërkimore në terren të vitit 2017 dhe 2022. </w:t>
      </w: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sectPr>
          <w:headerReference w:type="even" r:id="rId17"/>
          <w:headerReference w:type="default" r:id="rId18"/>
          <w:footerReference w:type="even" r:id="rId19"/>
          <w:footerReference w:type="default" r:id="rId20"/>
          <w:pgSz w:w="11907" w:h="16840"/>
          <w:pgMar w:top="1411" w:right="1138" w:bottom="1411" w:left="1138" w:header="461" w:footer="850" w:gutter="0"/>
          <w:cols w:space="720"/>
          <w:docGrid w:linePitch="360"/>
        </w:sectPr>
      </w:pPr>
    </w:p>
    <w:p>
      <w:pPr>
        <w:pStyle w:val="Caption"/>
        <w:rPr>
          <w:b/>
          <w:bCs/>
          <w:i w:val="0"/>
          <w:iCs w:val="0"/>
          <w:lang w:val="sq-AL"/>
        </w:rPr>
      </w:pPr>
      <w:r>
        <w:rPr>
          <w:b/>
          <w:bCs/>
          <w:i w:val="0"/>
          <w:iCs w:val="0"/>
          <w:lang w:val="sq-AL"/>
        </w:rPr>
        <w:t>Lista e taksave të makroinvertebrorëve në pesë stacionet e monitorimit me të dhënat e agreguara nga viti 2017 dhe 2022</w:t>
      </w:r>
    </w:p>
    <w:tbl>
      <w:tblPr>
        <w:tblW w:w="9096" w:type="dxa"/>
        <w:tblInd w:w="91" w:type="dxa"/>
        <w:tblLook w:val="04A0" w:firstRow="1" w:lastRow="0" w:firstColumn="1" w:lastColumn="0" w:noHBand="0" w:noVBand="1"/>
      </w:tblPr>
      <w:tblGrid>
        <w:gridCol w:w="1020"/>
        <w:gridCol w:w="972"/>
        <w:gridCol w:w="1088"/>
        <w:gridCol w:w="1382"/>
        <w:gridCol w:w="1447"/>
        <w:gridCol w:w="3208"/>
      </w:tblGrid>
      <w:tr>
        <w:trPr>
          <w:trHeight w:val="675"/>
        </w:trPr>
        <w:tc>
          <w:tcPr>
            <w:tcW w:w="999" w:type="dxa"/>
            <w:tcBorders>
              <w:top w:val="single" w:sz="4" w:space="0" w:color="auto"/>
              <w:left w:val="single" w:sz="4" w:space="0" w:color="auto"/>
              <w:bottom w:val="single" w:sz="4" w:space="0" w:color="auto"/>
              <w:right w:val="single" w:sz="4" w:space="0" w:color="auto"/>
            </w:tcBorders>
            <w:shd w:val="clear" w:color="000000" w:fill="FFFFFF"/>
            <w:hideMark/>
          </w:tcPr>
          <w:p>
            <w:pPr>
              <w:rPr>
                <w:b/>
                <w:bCs/>
                <w:color w:val="000000"/>
                <w:sz w:val="16"/>
                <w:szCs w:val="16"/>
                <w:lang w:val="sq-AL"/>
              </w:rPr>
            </w:pPr>
            <w:r>
              <w:rPr>
                <w:b/>
                <w:bCs/>
                <w:color w:val="000000"/>
                <w:sz w:val="16"/>
                <w:szCs w:val="16"/>
                <w:lang w:val="sq-AL"/>
              </w:rPr>
              <w:t>Stacioni i monitorimit</w:t>
            </w:r>
          </w:p>
        </w:tc>
        <w:tc>
          <w:tcPr>
            <w:tcW w:w="972"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Tipi</w:t>
            </w:r>
          </w:p>
        </w:tc>
        <w:tc>
          <w:tcPr>
            <w:tcW w:w="1088"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Klasa</w:t>
            </w:r>
          </w:p>
        </w:tc>
        <w:tc>
          <w:tcPr>
            <w:tcW w:w="1382"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Rendi</w:t>
            </w:r>
          </w:p>
        </w:tc>
        <w:tc>
          <w:tcPr>
            <w:tcW w:w="1447"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 xml:space="preserve">Familja </w:t>
            </w:r>
          </w:p>
        </w:tc>
        <w:tc>
          <w:tcPr>
            <w:tcW w:w="3208"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Specia</w:t>
            </w:r>
          </w:p>
        </w:tc>
      </w:tr>
      <w:tr>
        <w:trPr>
          <w:trHeight w:val="300"/>
        </w:trPr>
        <w:tc>
          <w:tcPr>
            <w:tcW w:w="999"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Drini i Bardhë Radavc</w:t>
            </w: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Drusus discolor </w:t>
            </w:r>
            <w:r>
              <w:rPr>
                <w:color w:val="000000"/>
                <w:sz w:val="16"/>
                <w:szCs w:val="16"/>
                <w:lang w:val="sq-AL"/>
              </w:rPr>
              <w:t>(Rambur, 1842)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Drusus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Chaetopteryx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Halesus digitatus</w:t>
            </w:r>
            <w:r>
              <w:rPr>
                <w:color w:val="000000"/>
                <w:sz w:val="16"/>
                <w:szCs w:val="16"/>
                <w:lang w:val="sq-AL"/>
              </w:rPr>
              <w:t xml:space="preserve">  von Paula Schrank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Potamophylax latipennis</w:t>
            </w:r>
            <w:r>
              <w:rPr>
                <w:color w:val="000000"/>
                <w:sz w:val="16"/>
                <w:szCs w:val="16"/>
                <w:lang w:val="sq-AL"/>
              </w:rPr>
              <w:t xml:space="preserve">  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Potamophylax luctuosus </w:t>
            </w:r>
            <w:r>
              <w:rPr>
                <w:color w:val="000000"/>
                <w:sz w:val="16"/>
                <w:szCs w:val="16"/>
                <w:lang w:val="sq-AL"/>
              </w:rPr>
              <w:t>(Piller &amp; Mitterpacher, 1783)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Hydropsyche instabilis</w:t>
            </w:r>
            <w:r>
              <w:rPr>
                <w:color w:val="000000"/>
                <w:sz w:val="16"/>
                <w:szCs w:val="16"/>
                <w:lang w:val="sq-AL"/>
              </w:rPr>
              <w:t xml:space="preserve">  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saxonica </w:t>
            </w:r>
            <w:r>
              <w:rPr>
                <w:color w:val="000000"/>
                <w:sz w:val="16"/>
                <w:szCs w:val="16"/>
                <w:lang w:val="sq-AL"/>
              </w:rPr>
              <w:t>McLachlan, 1884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Philopotaidae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Philopotamus montanus</w:t>
            </w:r>
            <w:r>
              <w:rPr>
                <w:color w:val="000000"/>
                <w:sz w:val="16"/>
                <w:szCs w:val="16"/>
                <w:lang w:val="sq-AL"/>
              </w:rPr>
              <w:t xml:space="preserve">  Donovan 1813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Tinodes pallidulus </w:t>
            </w:r>
            <w:r>
              <w:rPr>
                <w:color w:val="000000"/>
                <w:sz w:val="16"/>
                <w:szCs w:val="16"/>
                <w:lang w:val="sq-AL"/>
              </w:rPr>
              <w:t>McLachlan, 1878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Uenoidae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Thremma anomalum </w:t>
            </w:r>
            <w:r>
              <w:rPr>
                <w:color w:val="000000"/>
                <w:sz w:val="16"/>
                <w:szCs w:val="16"/>
                <w:lang w:val="sq-AL"/>
              </w:rPr>
              <w:t>McLachlan, 1876</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Rhyacophila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Rhyacophila fasciata </w:t>
            </w:r>
            <w:r>
              <w:rPr>
                <w:color w:val="000000"/>
                <w:sz w:val="16"/>
                <w:szCs w:val="16"/>
                <w:lang w:val="sq-AL"/>
              </w:rPr>
              <w:t>Hagen, 1859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Rhyacophila obliterata</w:t>
            </w:r>
            <w:r>
              <w:rPr>
                <w:color w:val="000000"/>
                <w:sz w:val="16"/>
                <w:szCs w:val="16"/>
                <w:lang w:val="sq-AL"/>
              </w:rPr>
              <w:t xml:space="preserve">  Zetterstedt 1840</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Rhyacophila tristis </w:t>
            </w:r>
            <w:r>
              <w:rPr>
                <w:color w:val="000000"/>
                <w:sz w:val="16"/>
                <w:szCs w:val="16"/>
                <w:lang w:val="sq-AL"/>
              </w:rPr>
              <w:t>Pictet,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Adicella filicornis</w:t>
            </w:r>
            <w:r>
              <w:rPr>
                <w:color w:val="000000"/>
                <w:sz w:val="16"/>
                <w:szCs w:val="16"/>
                <w:lang w:val="sq-AL"/>
              </w:rPr>
              <w:t xml:space="preserve"> (Pictet,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Adicella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Leptocerus interruptus </w:t>
            </w:r>
            <w:r>
              <w:rPr>
                <w:color w:val="000000"/>
                <w:sz w:val="16"/>
                <w:szCs w:val="16"/>
                <w:lang w:val="sq-AL"/>
              </w:rPr>
              <w:t>(Fabricius, 1775)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Crunoecia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Brachycentridae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Brachycentrus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Odontoceridae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Odontocerum albicorne </w:t>
            </w:r>
            <w:r>
              <w:rPr>
                <w:color w:val="000000"/>
                <w:sz w:val="16"/>
                <w:szCs w:val="16"/>
                <w:lang w:val="sq-AL"/>
              </w:rPr>
              <w:t>(Scopoli, 1763)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Sericostomatidae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Sericostoma flavicorne </w:t>
            </w:r>
            <w:r>
              <w:rPr>
                <w:color w:val="000000"/>
                <w:sz w:val="16"/>
                <w:szCs w:val="16"/>
                <w:lang w:val="sq-AL"/>
              </w:rPr>
              <w:t>Schneider 1845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Amphinemura triangularis </w:t>
            </w:r>
            <w:r>
              <w:rPr>
                <w:color w:val="000000"/>
                <w:sz w:val="16"/>
                <w:szCs w:val="16"/>
                <w:lang w:val="sq-AL"/>
              </w:rPr>
              <w:t>(Ris, 1902)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Nemoura cinerea </w:t>
            </w:r>
            <w:r>
              <w:rPr>
                <w:color w:val="000000"/>
                <w:sz w:val="16"/>
                <w:szCs w:val="16"/>
                <w:lang w:val="sq-AL"/>
              </w:rPr>
              <w:t>(Retzius, 1783)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Nemurella pictetii </w:t>
            </w:r>
            <w:r>
              <w:rPr>
                <w:color w:val="000000"/>
                <w:sz w:val="16"/>
                <w:szCs w:val="16"/>
                <w:lang w:val="sq-AL"/>
              </w:rPr>
              <w:t>Klapalek, 1900</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Protonemura intricata </w:t>
            </w:r>
            <w:r>
              <w:rPr>
                <w:color w:val="000000"/>
                <w:sz w:val="16"/>
                <w:szCs w:val="16"/>
                <w:lang w:val="sq-AL"/>
              </w:rPr>
              <w:t>(Ris, 1902)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Capniidae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Capnia 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Perlidae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Dinocras cephalotes</w:t>
            </w:r>
            <w:r>
              <w:rPr>
                <w:color w:val="000000"/>
                <w:sz w:val="16"/>
                <w:szCs w:val="16"/>
                <w:lang w:val="sq-AL"/>
              </w:rPr>
              <w:t xml:space="preserve"> (Curtis, 1827)</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Perlidae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Perla marginata</w:t>
            </w:r>
            <w:r>
              <w:rPr>
                <w:color w:val="000000"/>
                <w:sz w:val="16"/>
                <w:szCs w:val="16"/>
                <w:lang w:val="sq-AL"/>
              </w:rPr>
              <w:t xml:space="preserve"> (Panzer, 1799)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Taeniopterygidae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Brachyptera seticornis</w:t>
            </w:r>
            <w:r>
              <w:rPr>
                <w:color w:val="000000"/>
                <w:sz w:val="16"/>
                <w:szCs w:val="16"/>
                <w:lang w:val="sq-AL"/>
              </w:rPr>
              <w:t xml:space="preserve"> (Klapalek, 1902)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Taeniopterygidae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Brachyptera tristis</w:t>
            </w:r>
            <w:r>
              <w:rPr>
                <w:color w:val="000000"/>
                <w:sz w:val="16"/>
                <w:szCs w:val="16"/>
                <w:lang w:val="sq-AL"/>
              </w:rPr>
              <w:t xml:space="preserve"> (Klapalek, 1901)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Taeniopterygidae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Taeniopteryx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Taeniopterygidae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Rhabdiopteryx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Chloroperlidae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Siphonoperla neglecta</w:t>
            </w:r>
            <w:r>
              <w:rPr>
                <w:color w:val="000000"/>
                <w:sz w:val="16"/>
                <w:szCs w:val="16"/>
                <w:lang w:val="sq-AL"/>
              </w:rPr>
              <w:t xml:space="preserve"> (Rostock, 1881)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Leuctridae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Leuctra hirsuta </w:t>
            </w:r>
            <w:r>
              <w:rPr>
                <w:color w:val="000000"/>
                <w:sz w:val="16"/>
                <w:szCs w:val="16"/>
                <w:lang w:val="sq-AL"/>
              </w:rPr>
              <w:t>Bogoescu &amp; Tabacaru, 1960</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Leuctridae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Leuctra quadrimaculata </w:t>
            </w:r>
            <w:r>
              <w:rPr>
                <w:color w:val="000000"/>
                <w:sz w:val="16"/>
                <w:szCs w:val="16"/>
                <w:lang w:val="sq-AL"/>
              </w:rPr>
              <w:t>Kis, 1963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Ephemera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Ephemerellidae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Ephemerella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Baetis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Cloeon</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Lepteophlebidae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Leptophlebia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Heptagenidae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Rhithrogena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Odonata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Coenagrionidae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Ischnura </w:t>
            </w:r>
            <w:r>
              <w:rPr>
                <w:color w:val="000000"/>
                <w:sz w:val="16"/>
                <w:szCs w:val="16"/>
                <w:lang w:val="sq-AL"/>
              </w:rPr>
              <w:t>sp.</w:t>
            </w:r>
            <w:r>
              <w:rPr>
                <w:i/>
                <w:iCs/>
                <w:color w:val="000000"/>
                <w:sz w:val="16"/>
                <w:szCs w:val="16"/>
                <w:lang w:val="sq-AL"/>
              </w:rPr>
              <w:t xml:space="preserve">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Malacostraca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Amphipoda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Gammaridae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Gammarus balcanicus </w:t>
            </w:r>
            <w:r>
              <w:rPr>
                <w:color w:val="000000"/>
                <w:sz w:val="16"/>
                <w:szCs w:val="16"/>
                <w:lang w:val="sq-AL"/>
              </w:rPr>
              <w:t>Schaferna, 1922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Physidae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Physella  acuta</w:t>
            </w:r>
            <w:r>
              <w:rPr>
                <w:color w:val="000000"/>
                <w:sz w:val="16"/>
                <w:szCs w:val="16"/>
                <w:lang w:val="sq-AL"/>
              </w:rPr>
              <w:t xml:space="preserve">  Draparnaud 1805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Arhynchobdellida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Hirudinidae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Hirudo </w:t>
            </w:r>
            <w:r>
              <w:rPr>
                <w:color w:val="000000"/>
                <w:sz w:val="16"/>
                <w:szCs w:val="16"/>
                <w:lang w:val="sq-AL"/>
              </w:rPr>
              <w:t xml:space="preserve">sp. </w:t>
            </w:r>
          </w:p>
        </w:tc>
      </w:tr>
      <w:tr>
        <w:trPr>
          <w:trHeight w:val="300"/>
        </w:trPr>
        <w:tc>
          <w:tcPr>
            <w:tcW w:w="999"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Lumi Klina-Klinë</w:t>
            </w: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Halesus digitatus</w:t>
            </w:r>
            <w:r>
              <w:rPr>
                <w:color w:val="000000"/>
                <w:sz w:val="16"/>
                <w:szCs w:val="16"/>
                <w:lang w:val="sq-AL"/>
              </w:rPr>
              <w:t xml:space="preserve">  von Paula Schrank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Limnephilus stigma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Potamophylax latipennis</w:t>
            </w:r>
            <w:r>
              <w:rPr>
                <w:color w:val="000000"/>
                <w:sz w:val="16"/>
                <w:szCs w:val="16"/>
                <w:lang w:val="sq-AL"/>
              </w:rPr>
              <w:t xml:space="preserve">  Curtis 1834</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Potamophylax luctuosus </w:t>
            </w:r>
            <w:r>
              <w:rPr>
                <w:color w:val="000000"/>
                <w:sz w:val="16"/>
                <w:szCs w:val="16"/>
                <w:lang w:val="sq-AL"/>
              </w:rPr>
              <w:t>(Piller &amp; Mitterpacher, 1783)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angustipennis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Hydropsyche instabilis</w:t>
            </w:r>
            <w:r>
              <w:rPr>
                <w:color w:val="000000"/>
                <w:sz w:val="16"/>
                <w:szCs w:val="16"/>
                <w:lang w:val="sq-AL"/>
              </w:rPr>
              <w:t xml:space="preserve">  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saxonica </w:t>
            </w:r>
            <w:r>
              <w:rPr>
                <w:color w:val="000000"/>
                <w:sz w:val="16"/>
                <w:szCs w:val="16"/>
                <w:lang w:val="sq-AL"/>
              </w:rPr>
              <w:t>McLachlan, 1884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Psychomyia pusilla </w:t>
            </w:r>
            <w:r>
              <w:rPr>
                <w:color w:val="000000"/>
                <w:sz w:val="16"/>
                <w:szCs w:val="16"/>
                <w:lang w:val="sq-AL"/>
              </w:rPr>
              <w:t xml:space="preserve"> Fabricius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Tinodes pallidulus </w:t>
            </w:r>
            <w:r>
              <w:rPr>
                <w:color w:val="000000"/>
                <w:sz w:val="16"/>
                <w:szCs w:val="16"/>
                <w:lang w:val="sq-AL"/>
              </w:rPr>
              <w:t>McLachlan, 1878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Rhyacophila fasciata </w:t>
            </w:r>
            <w:r>
              <w:rPr>
                <w:color w:val="000000"/>
                <w:sz w:val="16"/>
                <w:szCs w:val="16"/>
                <w:lang w:val="sq-AL"/>
              </w:rPr>
              <w:t>Hagen, 1859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Rhyacophila polonica </w:t>
            </w:r>
            <w:r>
              <w:rPr>
                <w:color w:val="000000"/>
                <w:sz w:val="16"/>
                <w:szCs w:val="16"/>
                <w:lang w:val="sq-AL"/>
              </w:rPr>
              <w:t>McLachlan, 1879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Adicella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Athripsodes cinereus</w:t>
            </w:r>
            <w:r>
              <w:rPr>
                <w:color w:val="000000"/>
                <w:sz w:val="16"/>
                <w:szCs w:val="16"/>
                <w:lang w:val="sq-AL"/>
              </w:rPr>
              <w:t xml:space="preserve"> (Curtis,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Leptocerus interruptus </w:t>
            </w:r>
            <w:r>
              <w:rPr>
                <w:color w:val="000000"/>
                <w:sz w:val="16"/>
                <w:szCs w:val="16"/>
                <w:lang w:val="sq-AL"/>
              </w:rPr>
              <w:t>(Fabricius, 1775)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Mystacides azureus </w:t>
            </w:r>
            <w:r>
              <w:rPr>
                <w:color w:val="000000"/>
                <w:sz w:val="16"/>
                <w:szCs w:val="16"/>
                <w:lang w:val="sq-AL"/>
              </w:rPr>
              <w:t>(Linnaeus, 1761)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Cyrnus trimaculatus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Lasiocephala basalis </w:t>
            </w:r>
            <w:r>
              <w:rPr>
                <w:color w:val="000000"/>
                <w:sz w:val="16"/>
                <w:szCs w:val="16"/>
                <w:lang w:val="sq-AL"/>
              </w:rPr>
              <w:t>(Kolenati, 1848)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Brachycentridae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Brachycentrus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Sericostomatidae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Sericostoma flavicorne </w:t>
            </w:r>
            <w:r>
              <w:rPr>
                <w:color w:val="000000"/>
                <w:sz w:val="16"/>
                <w:szCs w:val="16"/>
                <w:lang w:val="sq-AL"/>
              </w:rPr>
              <w:t>Schneider 1845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Goera pilosa </w:t>
            </w:r>
            <w:r>
              <w:rPr>
                <w:color w:val="000000"/>
                <w:sz w:val="16"/>
                <w:szCs w:val="16"/>
                <w:lang w:val="sq-AL"/>
              </w:rPr>
              <w:t>(Fabricius, 1775)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Amphinemura triangularis </w:t>
            </w:r>
            <w:r>
              <w:rPr>
                <w:color w:val="000000"/>
                <w:sz w:val="16"/>
                <w:szCs w:val="16"/>
                <w:lang w:val="sq-AL"/>
              </w:rPr>
              <w:t>(Ris, 1902)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Nemoura cinerea </w:t>
            </w:r>
            <w:r>
              <w:rPr>
                <w:color w:val="000000"/>
                <w:sz w:val="16"/>
                <w:szCs w:val="16"/>
                <w:lang w:val="sq-AL"/>
              </w:rPr>
              <w:t>(Retzius, 1783)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Nemurella pictetii </w:t>
            </w:r>
            <w:r>
              <w:rPr>
                <w:color w:val="000000"/>
                <w:sz w:val="16"/>
                <w:szCs w:val="16"/>
                <w:lang w:val="sq-AL"/>
              </w:rPr>
              <w:t>Klapalek, 1900</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Capniidae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Capnia 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Taeniopterygidae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Brachyptera seticornis</w:t>
            </w:r>
            <w:r>
              <w:rPr>
                <w:color w:val="000000"/>
                <w:sz w:val="16"/>
                <w:szCs w:val="16"/>
                <w:lang w:val="sq-AL"/>
              </w:rPr>
              <w:t xml:space="preserve"> (Klapalek, 1902)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Leuctridae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Leuctra quadrimaculata </w:t>
            </w:r>
            <w:r>
              <w:rPr>
                <w:color w:val="000000"/>
                <w:sz w:val="16"/>
                <w:szCs w:val="16"/>
                <w:lang w:val="sq-AL"/>
              </w:rPr>
              <w:t>Kis, 1963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Ephemera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Ephemerellidae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Ephemerella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Baetis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Cloeon</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Lepteophlebidae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Leptophlebia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Heptagenidae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Ecdyonurus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Siphlonuridae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Siphlonurus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Chironomidae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Chironomus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Tabanidae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Tabanus</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Simulidae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Simulium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Odonata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Coenagrionidae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Ischnura </w:t>
            </w:r>
            <w:r>
              <w:rPr>
                <w:color w:val="000000"/>
                <w:sz w:val="16"/>
                <w:szCs w:val="16"/>
                <w:lang w:val="sq-AL"/>
              </w:rPr>
              <w:t>sp.</w:t>
            </w:r>
            <w:r>
              <w:rPr>
                <w:i/>
                <w:iCs/>
                <w:color w:val="000000"/>
                <w:sz w:val="16"/>
                <w:szCs w:val="16"/>
                <w:lang w:val="sq-AL"/>
              </w:rPr>
              <w:t xml:space="preserve">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Malacostraca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Amphipoda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Gammaridae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Gammarus balcanicus </w:t>
            </w:r>
            <w:r>
              <w:rPr>
                <w:color w:val="000000"/>
                <w:sz w:val="16"/>
                <w:szCs w:val="16"/>
                <w:lang w:val="sq-AL"/>
              </w:rPr>
              <w:t>Schaferna, 1922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Malacostraca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Amphipoda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Gammaridae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Gammarus </w:t>
            </w:r>
            <w:r>
              <w:rPr>
                <w:color w:val="000000"/>
                <w:sz w:val="16"/>
                <w:szCs w:val="16"/>
                <w:lang w:val="sq-AL"/>
              </w:rPr>
              <w:t>sp.</w:t>
            </w:r>
            <w:r>
              <w:rPr>
                <w:i/>
                <w:iCs/>
                <w:color w:val="000000"/>
                <w:sz w:val="16"/>
                <w:szCs w:val="16"/>
                <w:lang w:val="sq-AL"/>
              </w:rPr>
              <w:t xml:space="preserve"> </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Physidae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Physella  acuta</w:t>
            </w:r>
            <w:r>
              <w:rPr>
                <w:color w:val="000000"/>
                <w:sz w:val="16"/>
                <w:szCs w:val="16"/>
                <w:lang w:val="sq-AL"/>
              </w:rPr>
              <w:t xml:space="preserve">  Draparnaud 1805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Arhynchobdellida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Glossiphonidae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Glossiphonia</w:t>
            </w:r>
            <w:r>
              <w:rPr>
                <w:color w:val="000000"/>
                <w:sz w:val="16"/>
                <w:szCs w:val="16"/>
                <w:lang w:val="sq-AL"/>
              </w:rPr>
              <w:t xml:space="preserve"> sp. </w:t>
            </w:r>
          </w:p>
        </w:tc>
      </w:tr>
      <w:tr>
        <w:trPr>
          <w:trHeight w:val="300"/>
        </w:trPr>
        <w:tc>
          <w:tcPr>
            <w:tcW w:w="999"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 xml:space="preserve">Toplluha Piranë </w:t>
            </w: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angustipennis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Hydropsyche instabilis</w:t>
            </w:r>
            <w:r>
              <w:rPr>
                <w:color w:val="000000"/>
                <w:sz w:val="16"/>
                <w:szCs w:val="16"/>
                <w:lang w:val="sq-AL"/>
              </w:rPr>
              <w:t xml:space="preserve">  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saxonica </w:t>
            </w:r>
            <w:r>
              <w:rPr>
                <w:color w:val="000000"/>
                <w:sz w:val="16"/>
                <w:szCs w:val="16"/>
                <w:lang w:val="sq-AL"/>
              </w:rPr>
              <w:t>McLachlan, 1884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Psychomyia pusilla </w:t>
            </w:r>
            <w:r>
              <w:rPr>
                <w:color w:val="000000"/>
                <w:sz w:val="16"/>
                <w:szCs w:val="16"/>
                <w:lang w:val="sq-AL"/>
              </w:rPr>
              <w:t xml:space="preserve"> Fabricius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Rhyacophila fasciata </w:t>
            </w:r>
            <w:r>
              <w:rPr>
                <w:color w:val="000000"/>
                <w:sz w:val="16"/>
                <w:szCs w:val="16"/>
                <w:lang w:val="sq-AL"/>
              </w:rPr>
              <w:t>Hagen, 1859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Rhyacophila polonica </w:t>
            </w:r>
            <w:r>
              <w:rPr>
                <w:color w:val="000000"/>
                <w:sz w:val="16"/>
                <w:szCs w:val="16"/>
                <w:lang w:val="sq-AL"/>
              </w:rPr>
              <w:t>McLachlan, 1879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Adicella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Mystacides azureus </w:t>
            </w:r>
            <w:r>
              <w:rPr>
                <w:color w:val="000000"/>
                <w:sz w:val="16"/>
                <w:szCs w:val="16"/>
                <w:lang w:val="sq-AL"/>
              </w:rPr>
              <w:t>(Linnaeus, 1761)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Cyrnus trimaculatus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Lasiocephala basalis </w:t>
            </w:r>
            <w:r>
              <w:rPr>
                <w:color w:val="000000"/>
                <w:sz w:val="16"/>
                <w:szCs w:val="16"/>
                <w:lang w:val="sq-AL"/>
              </w:rPr>
              <w:t>(Kolenati, 1848)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Brachycentridae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Brachycentrus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Hydroptilidae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Hydroptila sparsa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Goera pilosa </w:t>
            </w:r>
            <w:r>
              <w:rPr>
                <w:color w:val="000000"/>
                <w:sz w:val="16"/>
                <w:szCs w:val="16"/>
                <w:lang w:val="sq-AL"/>
              </w:rPr>
              <w:t>(Fabricius, 1775)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Silo pallipes</w:t>
            </w:r>
            <w:r>
              <w:rPr>
                <w:color w:val="000000"/>
                <w:sz w:val="16"/>
                <w:szCs w:val="16"/>
                <w:lang w:val="sq-AL"/>
              </w:rPr>
              <w:t xml:space="preserve"> (Fabricius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Silo piceus </w:t>
            </w:r>
            <w:r>
              <w:rPr>
                <w:color w:val="000000"/>
                <w:sz w:val="16"/>
                <w:szCs w:val="16"/>
                <w:lang w:val="sq-AL"/>
              </w:rPr>
              <w:t>(Brauer, 1857)</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Baetis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Siphlonuridae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Siphlonurus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Caenidae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Caenis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Chironomidae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Chironomus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Tipulidae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Tipula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Tabanidae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Tabanus</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Simulidae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Simulium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Hemiptera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Corixidae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Corixa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Odonata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Coenagrionidae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Ischnura </w:t>
            </w:r>
            <w:r>
              <w:rPr>
                <w:color w:val="000000"/>
                <w:sz w:val="16"/>
                <w:szCs w:val="16"/>
                <w:lang w:val="sq-AL"/>
              </w:rPr>
              <w:t>sp.</w:t>
            </w:r>
            <w:r>
              <w:rPr>
                <w:i/>
                <w:iCs/>
                <w:color w:val="000000"/>
                <w:sz w:val="16"/>
                <w:szCs w:val="16"/>
                <w:lang w:val="sq-AL"/>
              </w:rPr>
              <w:t xml:space="preserve">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Malacostraca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Amphipoda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Gammaridae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Gammarus balcanicus </w:t>
            </w:r>
            <w:r>
              <w:rPr>
                <w:color w:val="000000"/>
                <w:sz w:val="16"/>
                <w:szCs w:val="16"/>
                <w:lang w:val="sq-AL"/>
              </w:rPr>
              <w:t>Schaferna, 1922</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Physidae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Physella  acuta</w:t>
            </w:r>
            <w:r>
              <w:rPr>
                <w:color w:val="000000"/>
                <w:sz w:val="16"/>
                <w:szCs w:val="16"/>
                <w:lang w:val="sq-AL"/>
              </w:rPr>
              <w:t xml:space="preserve">  Draparnaud 1805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Opistophora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Lumbricidae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Lumbricidae </w:t>
            </w:r>
            <w:r>
              <w:rPr>
                <w:color w:val="000000"/>
                <w:sz w:val="16"/>
                <w:szCs w:val="16"/>
                <w:lang w:val="sq-AL"/>
              </w:rPr>
              <w:t xml:space="preserve">Gen. 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Opistophora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Lumbricidae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Limnodrilus hoffmeisteri</w:t>
            </w:r>
            <w:r>
              <w:rPr>
                <w:color w:val="000000"/>
                <w:sz w:val="16"/>
                <w:szCs w:val="16"/>
                <w:lang w:val="sq-AL"/>
              </w:rPr>
              <w:t xml:space="preserve">  Claparede 1862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Arhynchobdellida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Hirudinidae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Hirudo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Arhynchobdellida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Glossiphonidae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Glossiphonia</w:t>
            </w:r>
            <w:r>
              <w:rPr>
                <w:color w:val="000000"/>
                <w:sz w:val="16"/>
                <w:szCs w:val="16"/>
                <w:lang w:val="sq-AL"/>
              </w:rPr>
              <w:t xml:space="preserve"> sp. </w:t>
            </w:r>
          </w:p>
        </w:tc>
      </w:tr>
      <w:tr>
        <w:trPr>
          <w:trHeight w:val="300"/>
        </w:trPr>
        <w:tc>
          <w:tcPr>
            <w:tcW w:w="999"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Lumbardhi i Prizrenit Vlashnje</w:t>
            </w: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Halesus digitatus</w:t>
            </w:r>
            <w:r>
              <w:rPr>
                <w:color w:val="000000"/>
                <w:sz w:val="16"/>
                <w:szCs w:val="16"/>
                <w:lang w:val="sq-AL"/>
              </w:rPr>
              <w:t xml:space="preserve">  von Paula Schrank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Potamophylax latipennis</w:t>
            </w:r>
            <w:r>
              <w:rPr>
                <w:color w:val="000000"/>
                <w:sz w:val="16"/>
                <w:szCs w:val="16"/>
                <w:lang w:val="sq-AL"/>
              </w:rPr>
              <w:t xml:space="preserve">  Curtis 1834</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Limnephilidae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Potamophylax luctuosus </w:t>
            </w:r>
            <w:r>
              <w:rPr>
                <w:color w:val="000000"/>
                <w:sz w:val="16"/>
                <w:szCs w:val="16"/>
                <w:lang w:val="sq-AL"/>
              </w:rPr>
              <w:t>(Piller &amp; Mitterpacher, 1783)</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angustipennis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Hydropsyche instabilis</w:t>
            </w:r>
            <w:r>
              <w:rPr>
                <w:color w:val="000000"/>
                <w:sz w:val="16"/>
                <w:szCs w:val="16"/>
                <w:lang w:val="sq-AL"/>
              </w:rPr>
              <w:t xml:space="preserve">  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saxonica </w:t>
            </w:r>
            <w:r>
              <w:rPr>
                <w:color w:val="000000"/>
                <w:sz w:val="16"/>
                <w:szCs w:val="16"/>
                <w:lang w:val="sq-AL"/>
              </w:rPr>
              <w:t>McLachlan, 1884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Psychomyia pusilla </w:t>
            </w:r>
            <w:r>
              <w:rPr>
                <w:color w:val="000000"/>
                <w:sz w:val="16"/>
                <w:szCs w:val="16"/>
                <w:lang w:val="sq-AL"/>
              </w:rPr>
              <w:t xml:space="preserve"> Fabricius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Tinodes pallidulus </w:t>
            </w:r>
            <w:r>
              <w:rPr>
                <w:color w:val="000000"/>
                <w:sz w:val="16"/>
                <w:szCs w:val="16"/>
                <w:lang w:val="sq-AL"/>
              </w:rPr>
              <w:t>McLachlan, 1878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Rhyacophila fasciata </w:t>
            </w:r>
            <w:r>
              <w:rPr>
                <w:color w:val="000000"/>
                <w:sz w:val="16"/>
                <w:szCs w:val="16"/>
                <w:lang w:val="sq-AL"/>
              </w:rPr>
              <w:t>Hagen, 1859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Rhyacophila polonica </w:t>
            </w:r>
            <w:r>
              <w:rPr>
                <w:color w:val="000000"/>
                <w:sz w:val="16"/>
                <w:szCs w:val="16"/>
                <w:lang w:val="sq-AL"/>
              </w:rPr>
              <w:t>McLachlan, 1879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Mystacides azureus </w:t>
            </w:r>
            <w:r>
              <w:rPr>
                <w:color w:val="000000"/>
                <w:sz w:val="16"/>
                <w:szCs w:val="16"/>
                <w:lang w:val="sq-AL"/>
              </w:rPr>
              <w:t>(Linnaeus, 1761)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Cyrnus trimaculatus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Lasiocephala basalis </w:t>
            </w:r>
            <w:r>
              <w:rPr>
                <w:color w:val="000000"/>
                <w:sz w:val="16"/>
                <w:szCs w:val="16"/>
                <w:lang w:val="sq-AL"/>
              </w:rPr>
              <w:t>(Kolenati, 1848)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Brachycentridae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Brachycentrus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Hydroptilidae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Hydroptila sparsa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Goera pilosa </w:t>
            </w:r>
            <w:r>
              <w:rPr>
                <w:color w:val="000000"/>
                <w:sz w:val="16"/>
                <w:szCs w:val="16"/>
                <w:lang w:val="sq-AL"/>
              </w:rPr>
              <w:t>(Fabricius, 1775)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Silo pallipes</w:t>
            </w:r>
            <w:r>
              <w:rPr>
                <w:color w:val="000000"/>
                <w:sz w:val="16"/>
                <w:szCs w:val="16"/>
                <w:lang w:val="sq-AL"/>
              </w:rPr>
              <w:t xml:space="preserve"> (Fabricius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Ecnomidae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Ecnomus tenellus </w:t>
            </w:r>
            <w:r>
              <w:rPr>
                <w:color w:val="000000"/>
                <w:sz w:val="16"/>
                <w:szCs w:val="16"/>
                <w:lang w:val="sq-AL"/>
              </w:rPr>
              <w:t xml:space="preserve">(Rambur, 1842)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Plecoptera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Nemouridae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Amphinemura triangularis </w:t>
            </w:r>
            <w:r>
              <w:rPr>
                <w:color w:val="000000"/>
                <w:sz w:val="16"/>
                <w:szCs w:val="16"/>
                <w:lang w:val="sq-AL"/>
              </w:rPr>
              <w:t>(Ris, 1902)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Ephemera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Baetis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Cloeon</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Heptagenidae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Rhithrogena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Siphlonuridae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Siphlonurus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Chironomidae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Chironomus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Tabanidae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Tabanus</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Simulidae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Simulium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Hemiptera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Corixidae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Corixa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Odonata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Calopterygidae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Calopteryx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Malacostraca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Isopoda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Asellidae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Asellus aquaticus </w:t>
            </w:r>
            <w:r>
              <w:rPr>
                <w:color w:val="000000"/>
                <w:sz w:val="16"/>
                <w:szCs w:val="16"/>
                <w:lang w:val="sq-AL"/>
              </w:rPr>
              <w:t>(Linnaeus, 1758)</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Planorbidae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Ancylus fluviatilis</w:t>
            </w:r>
            <w:r>
              <w:rPr>
                <w:color w:val="000000"/>
                <w:sz w:val="16"/>
                <w:szCs w:val="16"/>
                <w:lang w:val="sq-AL"/>
              </w:rPr>
              <w:t xml:space="preserve">  Müller 1774</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Lymnaeidae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Galba (Galba) truncatula</w:t>
            </w:r>
            <w:r>
              <w:rPr>
                <w:color w:val="000000"/>
                <w:sz w:val="16"/>
                <w:szCs w:val="16"/>
                <w:lang w:val="sq-AL"/>
              </w:rPr>
              <w:t xml:space="preserve"> Müller 1774</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Lymnaeidae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Radix (Lymnaea) auricularia</w:t>
            </w:r>
            <w:r>
              <w:rPr>
                <w:color w:val="000000"/>
                <w:sz w:val="16"/>
                <w:szCs w:val="16"/>
                <w:lang w:val="sq-AL"/>
              </w:rPr>
              <w:t xml:space="preserve">  Linnaeus 1758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Neotaenioglossa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Bithynidae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Bithynia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Coenogastropoda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Viviparidae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Viviparus viviparus </w:t>
            </w:r>
            <w:r>
              <w:rPr>
                <w:color w:val="000000"/>
                <w:sz w:val="16"/>
                <w:szCs w:val="16"/>
                <w:lang w:val="sq-AL"/>
              </w:rPr>
              <w:t>(Linnæus, 1758)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Opistophora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Tubificidae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Tubifex tubifex </w:t>
            </w:r>
            <w:r>
              <w:rPr>
                <w:color w:val="000000"/>
                <w:sz w:val="16"/>
                <w:szCs w:val="16"/>
                <w:lang w:val="sq-AL"/>
              </w:rPr>
              <w:t>Muller 1774</w:t>
            </w:r>
          </w:p>
        </w:tc>
      </w:tr>
      <w:tr>
        <w:trPr>
          <w:trHeight w:val="300"/>
        </w:trPr>
        <w:tc>
          <w:tcPr>
            <w:tcW w:w="999"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 xml:space="preserve">Drini i Bardhë Vërmicë </w:t>
            </w: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angustipennis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Hydropsychidae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Hydropsyche saxonica </w:t>
            </w:r>
            <w:r>
              <w:rPr>
                <w:color w:val="000000"/>
                <w:sz w:val="16"/>
                <w:szCs w:val="16"/>
                <w:lang w:val="sq-AL"/>
              </w:rPr>
              <w:t>McLachlan, 1884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Psychomyiidae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Psychomyia pusilla </w:t>
            </w:r>
            <w:r>
              <w:rPr>
                <w:color w:val="000000"/>
                <w:sz w:val="16"/>
                <w:szCs w:val="16"/>
                <w:lang w:val="sq-AL"/>
              </w:rPr>
              <w:t xml:space="preserve"> Fabricius 1781</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Rhyacophilidae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Rhyacophila fasciata </w:t>
            </w:r>
            <w:r>
              <w:rPr>
                <w:color w:val="000000"/>
                <w:sz w:val="16"/>
                <w:szCs w:val="16"/>
                <w:lang w:val="sq-AL"/>
              </w:rPr>
              <w:t>Hagen, 1859</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Leptoceridae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Adicella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Polycentropodidae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Lasiocephala basalis </w:t>
            </w:r>
            <w:r>
              <w:rPr>
                <w:color w:val="000000"/>
                <w:sz w:val="16"/>
                <w:szCs w:val="16"/>
                <w:lang w:val="sq-AL"/>
              </w:rPr>
              <w:t>(Kolenati, 1848)</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Hydroptilidae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Hydroptila sparsa </w:t>
            </w:r>
            <w:r>
              <w:rPr>
                <w:color w:val="000000"/>
                <w:sz w:val="16"/>
                <w:szCs w:val="16"/>
                <w:lang w:val="sq-AL"/>
              </w:rPr>
              <w:t>Curtis, 1834</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Trichoptera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Goeridae</w:t>
            </w:r>
          </w:p>
        </w:tc>
        <w:tc>
          <w:tcPr>
            <w:tcW w:w="3208"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Goera pilosa </w:t>
            </w:r>
            <w:r>
              <w:rPr>
                <w:color w:val="000000"/>
                <w:sz w:val="16"/>
                <w:szCs w:val="16"/>
                <w:lang w:val="sq-AL"/>
              </w:rPr>
              <w:t>(Fabricius, 1775)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Ephemeroptera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Baetidae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Baetis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Chironomidae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Chironomus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Tipulidae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Tipula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Tabanidae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Tabanus</w:t>
            </w:r>
            <w:r>
              <w:rPr>
                <w:color w:val="000000"/>
                <w:sz w:val="16"/>
                <w:szCs w:val="16"/>
                <w:lang w:val="sq-AL"/>
              </w:rPr>
              <w:t xml:space="preserve"> 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Simulidae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Simulium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Diptera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Pcyshodidae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Psychodidae </w:t>
            </w:r>
            <w:r>
              <w:rPr>
                <w:color w:val="000000"/>
                <w:sz w:val="16"/>
                <w:szCs w:val="16"/>
                <w:lang w:val="sq-AL"/>
              </w:rPr>
              <w:t>Gen.sp.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Hemiptera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Corixidae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Corixa </w:t>
            </w:r>
            <w:r>
              <w:rPr>
                <w:color w:val="000000"/>
                <w:sz w:val="16"/>
                <w:szCs w:val="16"/>
                <w:lang w:val="sq-AL"/>
              </w:rPr>
              <w:t>sp.</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Insecta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Odonata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Coenagrionidae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Ischnura </w:t>
            </w:r>
            <w:r>
              <w:rPr>
                <w:color w:val="000000"/>
                <w:sz w:val="16"/>
                <w:szCs w:val="16"/>
                <w:lang w:val="sq-AL"/>
              </w:rPr>
              <w:t>sp.</w:t>
            </w:r>
            <w:r>
              <w:rPr>
                <w:i/>
                <w:iCs/>
                <w:color w:val="000000"/>
                <w:sz w:val="16"/>
                <w:szCs w:val="16"/>
                <w:lang w:val="sq-AL"/>
              </w:rPr>
              <w:t xml:space="preserve">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Arthropoda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Malacostraca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Amphipoda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Gammaridae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Gammarus balcanicus </w:t>
            </w:r>
            <w:r>
              <w:rPr>
                <w:color w:val="000000"/>
                <w:sz w:val="16"/>
                <w:szCs w:val="16"/>
                <w:lang w:val="sq-AL"/>
              </w:rPr>
              <w:t>Schaferna, 1922</w:t>
            </w:r>
          </w:p>
        </w:tc>
      </w:tr>
      <w:tr>
        <w:trPr>
          <w:trHeight w:val="465"/>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Mollusca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Gastropoda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Basommatophora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Physidae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Physella  acuta</w:t>
            </w:r>
            <w:r>
              <w:rPr>
                <w:color w:val="000000"/>
                <w:sz w:val="16"/>
                <w:szCs w:val="16"/>
                <w:lang w:val="sq-AL"/>
              </w:rPr>
              <w:t xml:space="preserve">  Draparnaud 1805</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Opistophora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Lumbricidae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Limnodrilus hoffmeisteri</w:t>
            </w:r>
            <w:r>
              <w:rPr>
                <w:color w:val="000000"/>
                <w:sz w:val="16"/>
                <w:szCs w:val="16"/>
                <w:lang w:val="sq-AL"/>
              </w:rPr>
              <w:t xml:space="preserve">  Claparede 1862</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Arhynchobdellida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Hirudinidae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 xml:space="preserve">Hirudo </w:t>
            </w:r>
            <w:r>
              <w:rPr>
                <w:color w:val="000000"/>
                <w:sz w:val="16"/>
                <w:szCs w:val="16"/>
                <w:lang w:val="sq-AL"/>
              </w:rPr>
              <w:t xml:space="preserve">sp. </w:t>
            </w:r>
          </w:p>
        </w:tc>
      </w:tr>
      <w:tr>
        <w:trPr>
          <w:trHeight w:val="300"/>
        </w:trPr>
        <w:tc>
          <w:tcPr>
            <w:tcW w:w="999"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972"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Annelida</w:t>
            </w:r>
          </w:p>
        </w:tc>
        <w:tc>
          <w:tcPr>
            <w:tcW w:w="1088"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Oligochaeta</w:t>
            </w:r>
          </w:p>
        </w:tc>
        <w:tc>
          <w:tcPr>
            <w:tcW w:w="1382"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Arhynchobdellida</w:t>
            </w:r>
          </w:p>
        </w:tc>
        <w:tc>
          <w:tcPr>
            <w:tcW w:w="1447" w:type="dxa"/>
            <w:tcBorders>
              <w:top w:val="nil"/>
              <w:left w:val="nil"/>
              <w:bottom w:val="single" w:sz="4" w:space="0" w:color="auto"/>
              <w:right w:val="single" w:sz="4" w:space="0" w:color="auto"/>
            </w:tcBorders>
            <w:shd w:val="clear" w:color="auto" w:fill="auto"/>
            <w:vAlign w:val="bottom"/>
            <w:hideMark/>
          </w:tcPr>
          <w:p>
            <w:pPr>
              <w:rPr>
                <w:rFonts w:ascii="Calibri" w:hAnsi="Calibri"/>
                <w:color w:val="000000"/>
                <w:sz w:val="16"/>
                <w:szCs w:val="16"/>
                <w:lang w:val="sq-AL"/>
              </w:rPr>
            </w:pPr>
            <w:r>
              <w:rPr>
                <w:rFonts w:ascii="Calibri" w:hAnsi="Calibri"/>
                <w:color w:val="000000"/>
                <w:sz w:val="16"/>
                <w:szCs w:val="16"/>
                <w:lang w:val="sq-AL"/>
              </w:rPr>
              <w:t>Glossiphonidae</w:t>
            </w:r>
          </w:p>
        </w:tc>
        <w:tc>
          <w:tcPr>
            <w:tcW w:w="3208" w:type="dxa"/>
            <w:tcBorders>
              <w:top w:val="nil"/>
              <w:left w:val="nil"/>
              <w:bottom w:val="single" w:sz="4" w:space="0" w:color="auto"/>
              <w:right w:val="single" w:sz="4" w:space="0" w:color="auto"/>
            </w:tcBorders>
            <w:shd w:val="clear" w:color="auto" w:fill="auto"/>
            <w:vAlign w:val="bottom"/>
            <w:hideMark/>
          </w:tcPr>
          <w:p>
            <w:pPr>
              <w:rPr>
                <w:i/>
                <w:iCs/>
                <w:color w:val="000000"/>
                <w:sz w:val="16"/>
                <w:szCs w:val="16"/>
                <w:lang w:val="sq-AL"/>
              </w:rPr>
            </w:pPr>
            <w:r>
              <w:rPr>
                <w:i/>
                <w:iCs/>
                <w:color w:val="000000"/>
                <w:sz w:val="16"/>
                <w:szCs w:val="16"/>
                <w:lang w:val="sq-AL"/>
              </w:rPr>
              <w:t>Glossiphonia</w:t>
            </w:r>
            <w:r>
              <w:rPr>
                <w:color w:val="000000"/>
                <w:sz w:val="16"/>
                <w:szCs w:val="16"/>
                <w:lang w:val="sq-AL"/>
              </w:rPr>
              <w:t xml:space="preserve"> sp. </w:t>
            </w:r>
          </w:p>
        </w:tc>
      </w:tr>
    </w:tbl>
    <w:p>
      <w:pPr>
        <w:pStyle w:val="Caption"/>
        <w:jc w:val="center"/>
        <w:rPr>
          <w:rFonts w:ascii="Calibri" w:hAnsi="Calibri" w:cs="Calibri"/>
          <w:b/>
          <w:bCs/>
          <w:sz w:val="22"/>
          <w:szCs w:val="22"/>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autoSpaceDE w:val="0"/>
        <w:autoSpaceDN w:val="0"/>
        <w:adjustRightInd w:val="0"/>
        <w:rPr>
          <w:rFonts w:ascii="Calibri" w:hAnsi="Calibri" w:cs="Calibri"/>
          <w:bCs/>
          <w:lang w:val="sq-AL" w:eastAsia="en-GB"/>
        </w:rPr>
      </w:pPr>
    </w:p>
    <w:p>
      <w:pPr>
        <w:pStyle w:val="Caption"/>
        <w:jc w:val="center"/>
        <w:rPr>
          <w:rFonts w:ascii="Calibri" w:hAnsi="Calibri" w:cs="Calibri"/>
          <w:b/>
          <w:bCs/>
          <w:i w:val="0"/>
          <w:iCs w:val="0"/>
          <w:sz w:val="22"/>
          <w:szCs w:val="22"/>
          <w:lang w:val="sq-AL" w:eastAsia="en-GB"/>
        </w:rPr>
      </w:pPr>
      <w:bookmarkStart w:id="3" w:name="_Toc498428267"/>
      <w:bookmarkStart w:id="4" w:name="_Toc501646629"/>
      <w:bookmarkStart w:id="5" w:name="_Toc501646765"/>
      <w:r>
        <w:rPr>
          <w:b/>
          <w:bCs/>
          <w:i w:val="0"/>
          <w:iCs w:val="0"/>
          <w:lang w:val="sq-AL"/>
        </w:rPr>
        <w:t>Numri i përmbledhur i individëve për familje të taksave të makroinvertebrorëve në pesë stacionet e monitorimit, të dhënat e vitit 2017.</w:t>
      </w:r>
      <w:bookmarkEnd w:id="3"/>
      <w:bookmarkEnd w:id="4"/>
      <w:bookmarkEnd w:id="5"/>
    </w:p>
    <w:tbl>
      <w:tblPr>
        <w:tblW w:w="8728" w:type="dxa"/>
        <w:tblInd w:w="95" w:type="dxa"/>
        <w:tblLook w:val="04A0" w:firstRow="1" w:lastRow="0" w:firstColumn="1" w:lastColumn="0" w:noHBand="0" w:noVBand="1"/>
      </w:tblPr>
      <w:tblGrid>
        <w:gridCol w:w="3880"/>
        <w:gridCol w:w="960"/>
        <w:gridCol w:w="960"/>
        <w:gridCol w:w="984"/>
        <w:gridCol w:w="984"/>
        <w:gridCol w:w="960"/>
      </w:tblGrid>
      <w:tr>
        <w:trPr>
          <w:trHeight w:val="255"/>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rPr>
                <w:b/>
                <w:sz w:val="18"/>
                <w:szCs w:val="18"/>
                <w:lang w:val="sq-AL"/>
              </w:rPr>
            </w:pPr>
            <w:r>
              <w:rPr>
                <w:b/>
                <w:sz w:val="18"/>
                <w:szCs w:val="18"/>
                <w:lang w:val="sq-AL"/>
              </w:rPr>
              <w:t>Familja / Stacioni monitorues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sz w:val="18"/>
                <w:szCs w:val="18"/>
                <w:lang w:val="sq-AL"/>
              </w:rPr>
            </w:pPr>
            <w:r>
              <w:rPr>
                <w:b/>
                <w:sz w:val="18"/>
                <w:szCs w:val="18"/>
                <w:lang w:val="sq-AL"/>
              </w:rPr>
              <w:t>Radavc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sz w:val="18"/>
                <w:szCs w:val="18"/>
                <w:lang w:val="sq-AL"/>
              </w:rPr>
            </w:pPr>
            <w:r>
              <w:rPr>
                <w:b/>
                <w:sz w:val="18"/>
                <w:szCs w:val="18"/>
                <w:lang w:val="sq-AL"/>
              </w:rPr>
              <w:t xml:space="preserve">Klinë </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sz w:val="18"/>
                <w:szCs w:val="18"/>
                <w:lang w:val="sq-AL"/>
              </w:rPr>
            </w:pPr>
            <w:r>
              <w:rPr>
                <w:b/>
                <w:sz w:val="18"/>
                <w:szCs w:val="18"/>
                <w:lang w:val="sq-AL"/>
              </w:rPr>
              <w:t>Toplluhë</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sz w:val="18"/>
                <w:szCs w:val="18"/>
                <w:lang w:val="sq-AL"/>
              </w:rPr>
            </w:pPr>
            <w:r>
              <w:rPr>
                <w:b/>
                <w:sz w:val="18"/>
                <w:szCs w:val="18"/>
                <w:lang w:val="sq-AL"/>
              </w:rPr>
              <w:t>Vlashnje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sz w:val="18"/>
                <w:szCs w:val="18"/>
                <w:lang w:val="sq-AL"/>
              </w:rPr>
            </w:pPr>
            <w:r>
              <w:rPr>
                <w:b/>
                <w:sz w:val="18"/>
                <w:szCs w:val="18"/>
                <w:lang w:val="sq-AL"/>
              </w:rPr>
              <w:t xml:space="preserve">Vërmicë </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Limnephilidae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7</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Hydropsychidae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15</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13</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Philopotamidae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Psychomyidae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14</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31</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Uenoidae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Rhyacophilidae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33</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6</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Leptoceridae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7</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13</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9</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Polycentropodidae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Lepidostomatidae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Brachycentridae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Hydroptilidae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19</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Odontoceridae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Sericostomatidae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Goeridae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Ecnomidae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Nemouridae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Capnidae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Perlidae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23</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Taeniopterygidae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Chloroperlidae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Leuctridae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Ephemeridae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Ephemerellidae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Baetidae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39</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37</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35</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Leptophlebidae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Heptagenidae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Siphlonuridae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5</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Caenidae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13</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Chrinonomidae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29</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33</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Tipulidae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14</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Tabanidae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33</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Simulidae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49</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61</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Psychodidae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right"/>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16</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Corixidae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4</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Haliplidae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Coenagrionidae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right"/>
              <w:rPr>
                <w:sz w:val="18"/>
                <w:szCs w:val="18"/>
                <w:lang w:val="sq-AL"/>
              </w:rPr>
            </w:pPr>
            <w:r>
              <w:rPr>
                <w:sz w:val="18"/>
                <w:szCs w:val="18"/>
                <w:lang w:val="sq-AL"/>
              </w:rPr>
              <w:t>11</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15</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Cordulegasteridae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Calopterygidae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Gammaridae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70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26</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21</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Asellidae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Planorbidae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Lymnaeidae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Bithynidae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Physidae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12</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19</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Viviparidae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Lumbricidae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Tubificidae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19</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31</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Erpobdellidae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Hirudidae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6</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10</w:t>
            </w:r>
          </w:p>
        </w:tc>
      </w:tr>
      <w:tr>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pPr>
              <w:rPr>
                <w:sz w:val="18"/>
                <w:szCs w:val="18"/>
                <w:lang w:val="sq-AL"/>
              </w:rPr>
            </w:pPr>
            <w:r>
              <w:rPr>
                <w:sz w:val="18"/>
                <w:szCs w:val="18"/>
                <w:lang w:val="sq-AL"/>
              </w:rPr>
              <w:t>Glossiphonidae</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1</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3</w:t>
            </w:r>
          </w:p>
        </w:tc>
        <w:tc>
          <w:tcPr>
            <w:tcW w:w="984"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sz w:val="18"/>
                <w:szCs w:val="18"/>
                <w:lang w:val="sq-AL"/>
              </w:rPr>
            </w:pPr>
            <w:r>
              <w:rPr>
                <w:sz w:val="18"/>
                <w:szCs w:val="18"/>
                <w:lang w:val="sq-AL"/>
              </w:rPr>
              <w:t>9</w:t>
            </w:r>
          </w:p>
        </w:tc>
      </w:tr>
    </w:tbl>
    <w:p>
      <w:pPr>
        <w:autoSpaceDE w:val="0"/>
        <w:autoSpaceDN w:val="0"/>
        <w:adjustRightInd w:val="0"/>
        <w:rPr>
          <w:rFonts w:ascii="Calibri" w:hAnsi="Calibri" w:cs="Calibri"/>
          <w:bCs/>
          <w:lang w:val="sq-AL" w:eastAsia="en-GB"/>
        </w:rPr>
      </w:pPr>
    </w:p>
    <w:p>
      <w:pPr>
        <w:pStyle w:val="Heading2"/>
        <w:numPr>
          <w:ilvl w:val="0"/>
          <w:numId w:val="2"/>
        </w:numPr>
        <w:ind w:left="576" w:hanging="576"/>
        <w:rPr>
          <w:rFonts w:cs="Calibri"/>
          <w:lang w:val="sq-AL"/>
        </w:rPr>
      </w:pPr>
    </w:p>
    <w:p>
      <w:pPr>
        <w:pStyle w:val="BodyText"/>
        <w:rPr>
          <w:lang w:val="sq-AL" w:eastAsia="hi-IN" w:bidi="hi-IN"/>
        </w:rPr>
      </w:pPr>
    </w:p>
    <w:p>
      <w:pPr>
        <w:pStyle w:val="BodyText"/>
        <w:rPr>
          <w:lang w:val="sq-AL" w:eastAsia="hi-IN" w:bidi="hi-IN"/>
        </w:rPr>
      </w:pPr>
    </w:p>
    <w:p>
      <w:pPr>
        <w:pStyle w:val="BodyText"/>
        <w:rPr>
          <w:lang w:val="sq-AL" w:eastAsia="hi-IN" w:bidi="hi-IN"/>
        </w:rPr>
      </w:pPr>
    </w:p>
    <w:p>
      <w:pPr>
        <w:pStyle w:val="BodyText"/>
        <w:rPr>
          <w:lang w:val="sq-AL" w:eastAsia="hi-IN" w:bidi="hi-IN"/>
        </w:rPr>
      </w:pPr>
    </w:p>
    <w:p>
      <w:pPr>
        <w:pStyle w:val="BodyText"/>
        <w:rPr>
          <w:lang w:val="sq-AL" w:eastAsia="hi-IN" w:bidi="hi-IN"/>
        </w:rPr>
      </w:pPr>
    </w:p>
    <w:p>
      <w:pPr>
        <w:pStyle w:val="BodyText"/>
        <w:rPr>
          <w:lang w:val="sq-AL" w:eastAsia="hi-IN" w:bidi="hi-IN"/>
        </w:rPr>
      </w:pPr>
    </w:p>
    <w:p>
      <w:pPr>
        <w:pStyle w:val="BodyText"/>
        <w:rPr>
          <w:lang w:val="sq-AL" w:eastAsia="hi-IN" w:bidi="hi-IN"/>
        </w:rPr>
      </w:pPr>
    </w:p>
    <w:p>
      <w:pPr>
        <w:pStyle w:val="BodyText"/>
        <w:rPr>
          <w:lang w:val="sq-AL" w:eastAsia="hi-IN" w:bidi="hi-IN"/>
        </w:rPr>
      </w:pPr>
    </w:p>
    <w:p>
      <w:pPr>
        <w:pStyle w:val="Heading2"/>
        <w:numPr>
          <w:ilvl w:val="0"/>
          <w:numId w:val="2"/>
        </w:numPr>
        <w:ind w:left="576" w:hanging="576"/>
        <w:rPr>
          <w:rFonts w:cs="Calibri"/>
          <w:lang w:val="sq-AL"/>
        </w:rPr>
        <w:sectPr>
          <w:pgSz w:w="16840" w:h="11907" w:orient="landscape"/>
          <w:pgMar w:top="1138" w:right="1411" w:bottom="1138" w:left="1411" w:header="461" w:footer="850" w:gutter="0"/>
          <w:cols w:space="720"/>
          <w:docGrid w:linePitch="360"/>
        </w:sectPr>
      </w:pPr>
    </w:p>
    <w:p>
      <w:pPr>
        <w:pStyle w:val="Caption"/>
        <w:jc w:val="center"/>
        <w:rPr>
          <w:b/>
          <w:bCs/>
          <w:i w:val="0"/>
          <w:iCs w:val="0"/>
          <w:lang w:val="sq-AL"/>
        </w:rPr>
      </w:pPr>
      <w:bookmarkStart w:id="6" w:name="_Toc498428269"/>
      <w:bookmarkStart w:id="7" w:name="_Toc501646630"/>
      <w:r>
        <w:rPr>
          <w:b/>
          <w:bCs/>
          <w:i w:val="0"/>
          <w:iCs w:val="0"/>
          <w:lang w:val="sq-AL"/>
        </w:rPr>
        <w:t>Lista e specieve të diatomeve dhe bollshmëria e tyre relative e vëzhguar në pesë stacionet e monitorimit, të dhënat e vitit 2017.</w:t>
      </w:r>
      <w:bookmarkEnd w:id="6"/>
      <w:bookmarkEnd w:id="7"/>
    </w:p>
    <w:p>
      <w:pPr>
        <w:pStyle w:val="Caption"/>
        <w:jc w:val="center"/>
        <w:rPr>
          <w:lang w:val="sq-AL"/>
        </w:rPr>
      </w:pPr>
    </w:p>
    <w:tbl>
      <w:tblPr>
        <w:tblW w:w="13380" w:type="dxa"/>
        <w:tblInd w:w="91" w:type="dxa"/>
        <w:tblLook w:val="04A0" w:firstRow="1" w:lastRow="0" w:firstColumn="1" w:lastColumn="0" w:noHBand="0" w:noVBand="1"/>
      </w:tblPr>
      <w:tblGrid>
        <w:gridCol w:w="1476"/>
        <w:gridCol w:w="1182"/>
        <w:gridCol w:w="1601"/>
        <w:gridCol w:w="1417"/>
        <w:gridCol w:w="1637"/>
        <w:gridCol w:w="4679"/>
        <w:gridCol w:w="739"/>
        <w:gridCol w:w="755"/>
      </w:tblGrid>
      <w:tr>
        <w:trPr>
          <w:trHeight w:val="450"/>
        </w:trPr>
        <w:tc>
          <w:tcPr>
            <w:tcW w:w="1476" w:type="dxa"/>
            <w:tcBorders>
              <w:top w:val="single" w:sz="4" w:space="0" w:color="auto"/>
              <w:left w:val="single" w:sz="4" w:space="0" w:color="auto"/>
              <w:bottom w:val="single" w:sz="4" w:space="0" w:color="auto"/>
              <w:right w:val="single" w:sz="4" w:space="0" w:color="auto"/>
            </w:tcBorders>
            <w:shd w:val="clear" w:color="000000" w:fill="FFFFFF"/>
            <w:hideMark/>
          </w:tcPr>
          <w:p>
            <w:pPr>
              <w:rPr>
                <w:b/>
                <w:bCs/>
                <w:color w:val="000000"/>
                <w:sz w:val="16"/>
                <w:szCs w:val="16"/>
                <w:lang w:val="sq-AL"/>
              </w:rPr>
            </w:pPr>
            <w:r>
              <w:rPr>
                <w:b/>
                <w:bCs/>
                <w:color w:val="000000"/>
                <w:sz w:val="16"/>
                <w:szCs w:val="16"/>
                <w:lang w:val="sq-AL"/>
              </w:rPr>
              <w:t>Stacioni i monitorimit</w:t>
            </w:r>
          </w:p>
        </w:tc>
        <w:tc>
          <w:tcPr>
            <w:tcW w:w="1178"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Tipi</w:t>
            </w:r>
          </w:p>
        </w:tc>
        <w:tc>
          <w:tcPr>
            <w:tcW w:w="1499"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Klasa</w:t>
            </w:r>
          </w:p>
        </w:tc>
        <w:tc>
          <w:tcPr>
            <w:tcW w:w="1417"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Rendi</w:t>
            </w:r>
          </w:p>
        </w:tc>
        <w:tc>
          <w:tcPr>
            <w:tcW w:w="1637"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Familja</w:t>
            </w:r>
          </w:p>
        </w:tc>
        <w:tc>
          <w:tcPr>
            <w:tcW w:w="4679" w:type="dxa"/>
            <w:tcBorders>
              <w:top w:val="single" w:sz="4" w:space="0" w:color="auto"/>
              <w:left w:val="nil"/>
              <w:bottom w:val="single" w:sz="4" w:space="0" w:color="auto"/>
              <w:right w:val="single" w:sz="4" w:space="0" w:color="auto"/>
            </w:tcBorders>
            <w:shd w:val="clear" w:color="000000" w:fill="FFFFFF"/>
            <w:hideMark/>
          </w:tcPr>
          <w:p>
            <w:pPr>
              <w:jc w:val="center"/>
              <w:rPr>
                <w:b/>
                <w:bCs/>
                <w:color w:val="000000"/>
                <w:sz w:val="16"/>
                <w:szCs w:val="16"/>
                <w:lang w:val="sq-AL"/>
              </w:rPr>
            </w:pPr>
            <w:r>
              <w:rPr>
                <w:b/>
                <w:bCs/>
                <w:color w:val="000000"/>
                <w:sz w:val="16"/>
                <w:szCs w:val="16"/>
                <w:lang w:val="sq-AL"/>
              </w:rPr>
              <w:t>Speciet</w:t>
            </w:r>
          </w:p>
        </w:tc>
        <w:tc>
          <w:tcPr>
            <w:tcW w:w="739" w:type="dxa"/>
            <w:tcBorders>
              <w:top w:val="single" w:sz="4" w:space="0" w:color="auto"/>
              <w:left w:val="nil"/>
              <w:bottom w:val="single" w:sz="4" w:space="0" w:color="auto"/>
              <w:right w:val="single" w:sz="4" w:space="0" w:color="auto"/>
            </w:tcBorders>
            <w:shd w:val="clear" w:color="auto" w:fill="auto"/>
            <w:vAlign w:val="bottom"/>
            <w:hideMark/>
          </w:tcPr>
          <w:p>
            <w:pPr>
              <w:rPr>
                <w:b/>
                <w:bCs/>
                <w:color w:val="000000"/>
                <w:sz w:val="16"/>
                <w:szCs w:val="16"/>
                <w:lang w:val="sq-AL"/>
              </w:rPr>
            </w:pPr>
            <w:r>
              <w:rPr>
                <w:b/>
                <w:bCs/>
                <w:color w:val="000000"/>
                <w:sz w:val="16"/>
                <w:szCs w:val="16"/>
                <w:lang w:val="sq-AL"/>
              </w:rPr>
              <w:t xml:space="preserve">Epiliton </w:t>
            </w:r>
          </w:p>
        </w:tc>
        <w:tc>
          <w:tcPr>
            <w:tcW w:w="755" w:type="dxa"/>
            <w:tcBorders>
              <w:top w:val="single" w:sz="4" w:space="0" w:color="auto"/>
              <w:left w:val="nil"/>
              <w:bottom w:val="single" w:sz="4" w:space="0" w:color="auto"/>
              <w:right w:val="single" w:sz="4" w:space="0" w:color="auto"/>
            </w:tcBorders>
            <w:shd w:val="clear" w:color="auto" w:fill="auto"/>
            <w:vAlign w:val="bottom"/>
            <w:hideMark/>
          </w:tcPr>
          <w:p>
            <w:pPr>
              <w:rPr>
                <w:b/>
                <w:bCs/>
                <w:color w:val="000000"/>
                <w:sz w:val="16"/>
                <w:szCs w:val="16"/>
                <w:lang w:val="sq-AL"/>
              </w:rPr>
            </w:pPr>
            <w:r>
              <w:rPr>
                <w:b/>
                <w:bCs/>
                <w:color w:val="000000"/>
                <w:sz w:val="16"/>
                <w:szCs w:val="16"/>
                <w:lang w:val="sq-AL"/>
              </w:rPr>
              <w:t>Epifiton</w:t>
            </w:r>
          </w:p>
        </w:tc>
      </w:tr>
      <w:tr>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Drini i Bardhë Radavc</w:t>
            </w: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Achnanthidium biasolettianum</w:t>
            </w:r>
            <w:r>
              <w:rPr>
                <w:color w:val="000000"/>
                <w:sz w:val="16"/>
                <w:szCs w:val="16"/>
                <w:lang w:val="sq-AL"/>
              </w:rPr>
              <w:t xml:space="preserve"> (Grunoë)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71.5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29</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Achnanthidium minutissimum</w:t>
            </w:r>
            <w:r>
              <w:rPr>
                <w:color w:val="000000"/>
                <w:sz w:val="16"/>
                <w:szCs w:val="16"/>
                <w:lang w:val="sq-AL"/>
              </w:rPr>
              <w:t xml:space="preserve"> (Kützing) Czarnecki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Thalassiophysales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Catenulaceae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Amphora pediculus</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Caloneis bacillum</w:t>
            </w:r>
            <w:r>
              <w:rPr>
                <w:color w:val="000000"/>
                <w:sz w:val="16"/>
                <w:szCs w:val="16"/>
                <w:lang w:val="sq-AL"/>
              </w:rPr>
              <w:t xml:space="preserve"> (Grunoë) Cleve</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pediculus</w:t>
            </w:r>
            <w:r>
              <w:rPr>
                <w:color w:val="000000"/>
                <w:sz w:val="16"/>
                <w:szCs w:val="16"/>
                <w:lang w:val="sq-AL"/>
              </w:rPr>
              <w:t xml:space="preserve"> Ehrenberg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placentula</w:t>
            </w:r>
            <w:r>
              <w:rPr>
                <w:color w:val="000000"/>
                <w:sz w:val="16"/>
                <w:szCs w:val="16"/>
                <w:lang w:val="sq-AL"/>
              </w:rPr>
              <w:t xml:space="preserve"> Ehrenberg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placentula</w:t>
            </w:r>
            <w:r>
              <w:rPr>
                <w:color w:val="000000"/>
                <w:sz w:val="16"/>
                <w:szCs w:val="16"/>
                <w:lang w:val="sq-AL"/>
              </w:rPr>
              <w:t xml:space="preserve"> var. </w:t>
            </w:r>
            <w:r>
              <w:rPr>
                <w:i/>
                <w:iCs/>
                <w:color w:val="000000"/>
                <w:sz w:val="16"/>
                <w:szCs w:val="16"/>
                <w:lang w:val="sq-AL"/>
              </w:rPr>
              <w:t>lineata</w:t>
            </w:r>
            <w:r>
              <w:rPr>
                <w:color w:val="000000"/>
                <w:sz w:val="16"/>
                <w:szCs w:val="16"/>
                <w:lang w:val="sq-AL"/>
              </w:rPr>
              <w:t xml:space="preserve"> (Ehrenberg) Cleve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9.5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pseudolineata</w:t>
            </w:r>
            <w:r>
              <w:rPr>
                <w:color w:val="000000"/>
                <w:sz w:val="16"/>
                <w:szCs w:val="16"/>
                <w:lang w:val="sq-AL"/>
              </w:rPr>
              <w:t xml:space="preserve"> (Geitler)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Cymbella</w:t>
            </w:r>
            <w:r>
              <w:rPr>
                <w:color w:val="000000"/>
                <w:sz w:val="16"/>
                <w:szCs w:val="16"/>
                <w:lang w:val="sq-AL"/>
              </w:rPr>
              <w:t xml:space="preserve"> </w:t>
            </w:r>
            <w:r>
              <w:rPr>
                <w:i/>
                <w:iCs/>
                <w:color w:val="000000"/>
                <w:sz w:val="16"/>
                <w:szCs w:val="16"/>
                <w:lang w:val="sq-AL"/>
              </w:rPr>
              <w:t>lange-bertalotii</w:t>
            </w:r>
            <w:r>
              <w:rPr>
                <w:color w:val="000000"/>
                <w:sz w:val="16"/>
                <w:szCs w:val="16"/>
                <w:lang w:val="sq-AL"/>
              </w:rPr>
              <w:t xml:space="preserve"> Krammer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Cymbella</w:t>
            </w:r>
            <w:r>
              <w:rPr>
                <w:color w:val="000000"/>
                <w:sz w:val="16"/>
                <w:szCs w:val="16"/>
                <w:lang w:val="sq-AL"/>
              </w:rPr>
              <w:t xml:space="preserve"> </w:t>
            </w:r>
            <w:r>
              <w:rPr>
                <w:i/>
                <w:iCs/>
                <w:color w:val="000000"/>
                <w:sz w:val="16"/>
                <w:szCs w:val="16"/>
                <w:lang w:val="sq-AL"/>
              </w:rPr>
              <w:t>parva</w:t>
            </w:r>
            <w:r>
              <w:rPr>
                <w:color w:val="000000"/>
                <w:sz w:val="16"/>
                <w:szCs w:val="16"/>
                <w:lang w:val="sq-AL"/>
              </w:rPr>
              <w:t xml:space="preserve"> (Ë. Smith) Cleve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Denticula</w:t>
            </w:r>
            <w:r>
              <w:rPr>
                <w:color w:val="000000"/>
                <w:sz w:val="16"/>
                <w:szCs w:val="16"/>
                <w:lang w:val="sq-AL"/>
              </w:rPr>
              <w:t xml:space="preserve"> </w:t>
            </w:r>
            <w:r>
              <w:rPr>
                <w:i/>
                <w:iCs/>
                <w:color w:val="000000"/>
                <w:sz w:val="16"/>
                <w:szCs w:val="16"/>
                <w:lang w:val="sq-AL"/>
              </w:rPr>
              <w:t>tenuis</w:t>
            </w:r>
            <w:r>
              <w:rPr>
                <w:color w:val="000000"/>
                <w:sz w:val="16"/>
                <w:szCs w:val="16"/>
                <w:lang w:val="sq-AL"/>
              </w:rPr>
              <w:t xml:space="preserve">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minutum</w:t>
            </w:r>
            <w:r>
              <w:rPr>
                <w:color w:val="000000"/>
                <w:sz w:val="16"/>
                <w:szCs w:val="16"/>
                <w:lang w:val="sq-AL"/>
              </w:rPr>
              <w:t xml:space="preserve"> (Hilse) D.G. Mann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silesiacum</w:t>
            </w:r>
            <w:r>
              <w:rPr>
                <w:color w:val="000000"/>
                <w:sz w:val="16"/>
                <w:szCs w:val="16"/>
                <w:lang w:val="sq-AL"/>
              </w:rPr>
              <w:t xml:space="preserve"> (Bleisch) D.G. Mann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ventricosum</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Encyonopsis</w:t>
            </w:r>
            <w:r>
              <w:rPr>
                <w:color w:val="000000"/>
                <w:sz w:val="16"/>
                <w:szCs w:val="16"/>
                <w:lang w:val="sq-AL"/>
              </w:rPr>
              <w:t xml:space="preserve"> </w:t>
            </w:r>
            <w:r>
              <w:rPr>
                <w:i/>
                <w:iCs/>
                <w:color w:val="000000"/>
                <w:sz w:val="16"/>
                <w:szCs w:val="16"/>
                <w:lang w:val="sq-AL"/>
              </w:rPr>
              <w:t>microcephala</w:t>
            </w:r>
            <w:r>
              <w:rPr>
                <w:color w:val="000000"/>
                <w:sz w:val="16"/>
                <w:szCs w:val="16"/>
                <w:lang w:val="sq-AL"/>
              </w:rPr>
              <w:t xml:space="preserve"> (Grunoë) Krammer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pumilum</w:t>
            </w:r>
            <w:r>
              <w:rPr>
                <w:color w:val="000000"/>
                <w:sz w:val="16"/>
                <w:szCs w:val="16"/>
                <w:lang w:val="sq-AL"/>
              </w:rPr>
              <w:t xml:space="preserve"> (Grunoë) E. Reichardt &amp;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Meridion circulare</w:t>
            </w:r>
            <w:r>
              <w:rPr>
                <w:color w:val="000000"/>
                <w:sz w:val="16"/>
                <w:szCs w:val="16"/>
                <w:lang w:val="sq-AL"/>
              </w:rPr>
              <w:t xml:space="preserve"> (Grev.) C.Agardh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antonii</w:t>
            </w:r>
            <w:r>
              <w:rPr>
                <w:color w:val="000000"/>
                <w:sz w:val="16"/>
                <w:szCs w:val="16"/>
                <w:lang w:val="sq-AL"/>
              </w:rPr>
              <w:t xml:space="preserve">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cryptotenella </w:t>
            </w:r>
            <w:r>
              <w:rPr>
                <w:color w:val="000000"/>
                <w:sz w:val="16"/>
                <w:szCs w:val="16"/>
                <w:lang w:val="sq-AL"/>
              </w:rPr>
              <w:t xml:space="preserve">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tripunctata</w:t>
            </w:r>
            <w:r>
              <w:rPr>
                <w:color w:val="000000"/>
                <w:sz w:val="16"/>
                <w:szCs w:val="16"/>
                <w:lang w:val="sq-AL"/>
              </w:rPr>
              <w:t xml:space="preserve"> (O.F.Müller) Bory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dissipata</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fonticola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Odontidium mesodon</w:t>
            </w:r>
            <w:r>
              <w:rPr>
                <w:color w:val="000000"/>
                <w:sz w:val="16"/>
                <w:szCs w:val="16"/>
                <w:lang w:val="sq-AL"/>
              </w:rPr>
              <w:t xml:space="preserve"> (Ehrenberg) Kützing</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Planothidium lanceolatum</w:t>
            </w:r>
            <w:r>
              <w:rPr>
                <w:color w:val="000000"/>
                <w:sz w:val="16"/>
                <w:szCs w:val="16"/>
                <w:lang w:val="sq-AL"/>
              </w:rPr>
              <w:t xml:space="preserve"> (Brébisson)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Reimeria sinuata</w:t>
            </w:r>
            <w:r>
              <w:rPr>
                <w:color w:val="000000"/>
                <w:sz w:val="16"/>
                <w:szCs w:val="16"/>
                <w:lang w:val="sq-AL"/>
              </w:rPr>
              <w:t xml:space="preserve"> (Ë. Greg.) Kociolek &amp; Stoermer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Rhoicospheniaceae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Rhoicosphenia abbreviata</w:t>
            </w:r>
            <w:r>
              <w:rPr>
                <w:color w:val="000000"/>
                <w:sz w:val="16"/>
                <w:szCs w:val="16"/>
                <w:lang w:val="sq-AL"/>
              </w:rPr>
              <w:t xml:space="preserve"> (C. Agardh)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w:t>
            </w:r>
          </w:p>
        </w:tc>
      </w:tr>
      <w:tr>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Klina</w:t>
            </w: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Achnanthidium biasolettianum</w:t>
            </w:r>
            <w:r>
              <w:rPr>
                <w:color w:val="000000"/>
                <w:sz w:val="16"/>
                <w:szCs w:val="16"/>
                <w:lang w:val="sq-AL"/>
              </w:rPr>
              <w:t xml:space="preserve"> (Grunoë)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Achnanthidium minutissimum</w:t>
            </w:r>
            <w:r>
              <w:rPr>
                <w:color w:val="000000"/>
                <w:sz w:val="16"/>
                <w:szCs w:val="16"/>
                <w:lang w:val="sq-AL"/>
              </w:rPr>
              <w:t xml:space="preserve"> (Kützing) Czarnecki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9.5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7</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Thalassiophysales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Catenulaceae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Amphora minutissima</w:t>
            </w:r>
            <w:r>
              <w:rPr>
                <w:color w:val="000000"/>
                <w:sz w:val="16"/>
                <w:szCs w:val="16"/>
                <w:lang w:val="sq-AL"/>
              </w:rPr>
              <w:t xml:space="preserve"> Ë. Smith</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Thalassiophysales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Catenulaceae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Amphora pediculus</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14.5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pediculus</w:t>
            </w:r>
            <w:r>
              <w:rPr>
                <w:color w:val="000000"/>
                <w:sz w:val="16"/>
                <w:szCs w:val="16"/>
                <w:lang w:val="sq-AL"/>
              </w:rPr>
              <w:t xml:space="preserve"> Ehrenberg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placentula</w:t>
            </w:r>
            <w:r>
              <w:rPr>
                <w:color w:val="000000"/>
                <w:sz w:val="16"/>
                <w:szCs w:val="16"/>
                <w:lang w:val="sq-AL"/>
              </w:rPr>
              <w:t xml:space="preserve"> var. </w:t>
            </w:r>
            <w:r>
              <w:rPr>
                <w:i/>
                <w:iCs/>
                <w:color w:val="000000"/>
                <w:sz w:val="16"/>
                <w:szCs w:val="16"/>
                <w:lang w:val="sq-AL"/>
              </w:rPr>
              <w:t>euglypta</w:t>
            </w:r>
            <w:r>
              <w:rPr>
                <w:color w:val="000000"/>
                <w:sz w:val="16"/>
                <w:szCs w:val="16"/>
                <w:lang w:val="sq-AL"/>
              </w:rPr>
              <w:t xml:space="preserve"> (Ehrenberg) Cleve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pseudolineata</w:t>
            </w:r>
            <w:r>
              <w:rPr>
                <w:color w:val="000000"/>
                <w:sz w:val="16"/>
                <w:szCs w:val="16"/>
                <w:lang w:val="sq-AL"/>
              </w:rPr>
              <w:t xml:space="preserve"> (Geitler)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Diatoma</w:t>
            </w:r>
            <w:r>
              <w:rPr>
                <w:color w:val="000000"/>
                <w:sz w:val="16"/>
                <w:szCs w:val="16"/>
                <w:lang w:val="sq-AL"/>
              </w:rPr>
              <w:t xml:space="preserve"> </w:t>
            </w:r>
            <w:r>
              <w:rPr>
                <w:i/>
                <w:iCs/>
                <w:color w:val="000000"/>
                <w:sz w:val="16"/>
                <w:szCs w:val="16"/>
                <w:lang w:val="sq-AL"/>
              </w:rPr>
              <w:t>moniliformis</w:t>
            </w:r>
            <w:r>
              <w:rPr>
                <w:color w:val="000000"/>
                <w:sz w:val="16"/>
                <w:szCs w:val="16"/>
                <w:lang w:val="sq-AL"/>
              </w:rPr>
              <w:t xml:space="preserve">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Diatoma vulgaris </w:t>
            </w:r>
            <w:r>
              <w:rPr>
                <w:color w:val="000000"/>
                <w:sz w:val="16"/>
                <w:szCs w:val="16"/>
                <w:lang w:val="sq-AL"/>
              </w:rPr>
              <w:t>Bory</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minutum</w:t>
            </w:r>
            <w:r>
              <w:rPr>
                <w:color w:val="000000"/>
                <w:sz w:val="16"/>
                <w:szCs w:val="16"/>
                <w:lang w:val="sq-AL"/>
              </w:rPr>
              <w:t xml:space="preserve"> (Hilse) D.G. Mann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6</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prostratum</w:t>
            </w:r>
            <w:r>
              <w:rPr>
                <w:color w:val="000000"/>
                <w:sz w:val="16"/>
                <w:szCs w:val="16"/>
                <w:lang w:val="sq-AL"/>
              </w:rPr>
              <w:t xml:space="preserve"> (Berkeley)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minutum</w:t>
            </w:r>
            <w:r>
              <w:rPr>
                <w:color w:val="000000"/>
                <w:sz w:val="16"/>
                <w:szCs w:val="16"/>
                <w:lang w:val="sq-AL"/>
              </w:rPr>
              <w:t xml:space="preserve"> (C.Agardh) C.Agardh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olivaceum</w:t>
            </w:r>
            <w:r>
              <w:rPr>
                <w:color w:val="000000"/>
                <w:sz w:val="16"/>
                <w:szCs w:val="16"/>
                <w:lang w:val="sq-AL"/>
              </w:rPr>
              <w:t xml:space="preserve"> (Horneman) Brébisson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parvulum</w:t>
            </w:r>
            <w:r>
              <w:rPr>
                <w:color w:val="000000"/>
                <w:sz w:val="16"/>
                <w:szCs w:val="16"/>
                <w:lang w:val="sq-AL"/>
              </w:rPr>
              <w:t xml:space="preserve"> (Kützing) Kützing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9.5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pumilum</w:t>
            </w:r>
            <w:r>
              <w:rPr>
                <w:color w:val="000000"/>
                <w:sz w:val="16"/>
                <w:szCs w:val="16"/>
                <w:lang w:val="sq-AL"/>
              </w:rPr>
              <w:t xml:space="preserve"> (Grunoë) E. Reichardt &amp;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9</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w:t>
            </w:r>
            <w:r>
              <w:rPr>
                <w:color w:val="000000"/>
                <w:sz w:val="16"/>
                <w:szCs w:val="16"/>
                <w:lang w:val="sq-AL"/>
              </w:rPr>
              <w:t xml:space="preserve"> </w:t>
            </w:r>
            <w:r>
              <w:rPr>
                <w:i/>
                <w:iCs/>
                <w:color w:val="000000"/>
                <w:sz w:val="16"/>
                <w:szCs w:val="16"/>
                <w:lang w:val="sq-AL"/>
              </w:rPr>
              <w:t>tergestinum</w:t>
            </w:r>
            <w:r>
              <w:rPr>
                <w:color w:val="000000"/>
                <w:sz w:val="16"/>
                <w:szCs w:val="16"/>
                <w:lang w:val="sq-AL"/>
              </w:rPr>
              <w:t xml:space="preserve"> Fricke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Naviculales </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Mayamaea atomus</w:t>
            </w:r>
            <w:r>
              <w:rPr>
                <w:color w:val="000000"/>
                <w:sz w:val="16"/>
                <w:szCs w:val="16"/>
                <w:lang w:val="sq-AL"/>
              </w:rPr>
              <w:t xml:space="preserve"> (Kützing) Lange-Bertalot</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Coscinodiscophyceae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Melosirales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Melosiraceae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Melosira varians</w:t>
            </w:r>
            <w:r>
              <w:rPr>
                <w:color w:val="000000"/>
                <w:sz w:val="16"/>
                <w:szCs w:val="16"/>
                <w:lang w:val="sq-AL"/>
              </w:rPr>
              <w:t xml:space="preserve"> C.Agardh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antonii</w:t>
            </w:r>
            <w:r>
              <w:rPr>
                <w:color w:val="000000"/>
                <w:sz w:val="16"/>
                <w:szCs w:val="16"/>
                <w:lang w:val="sq-AL"/>
              </w:rPr>
              <w:t xml:space="preserve">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8.5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capitatoradiata </w:t>
            </w:r>
            <w:r>
              <w:rPr>
                <w:color w:val="000000"/>
                <w:sz w:val="16"/>
                <w:szCs w:val="16"/>
                <w:lang w:val="sq-AL"/>
              </w:rPr>
              <w:t>Germain</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9</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cryptotenella </w:t>
            </w:r>
            <w:r>
              <w:rPr>
                <w:color w:val="000000"/>
                <w:sz w:val="16"/>
                <w:szCs w:val="16"/>
                <w:lang w:val="sq-AL"/>
              </w:rPr>
              <w:t xml:space="preserve">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gregaria</w:t>
            </w:r>
            <w:r>
              <w:rPr>
                <w:color w:val="000000"/>
                <w:sz w:val="16"/>
                <w:szCs w:val="16"/>
                <w:lang w:val="sq-AL"/>
              </w:rPr>
              <w:t xml:space="preserve"> Donkin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Navicula lanceolata </w:t>
            </w:r>
            <w:r>
              <w:rPr>
                <w:color w:val="000000"/>
                <w:sz w:val="16"/>
                <w:szCs w:val="16"/>
                <w:lang w:val="sq-AL"/>
              </w:rPr>
              <w:t xml:space="preserve">(C. Agardh)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tripunctata</w:t>
            </w:r>
            <w:r>
              <w:rPr>
                <w:color w:val="000000"/>
                <w:sz w:val="16"/>
                <w:szCs w:val="16"/>
                <w:lang w:val="sq-AL"/>
              </w:rPr>
              <w:t xml:space="preserve"> (O.F.Müller) Bory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veneta </w:t>
            </w:r>
            <w:r>
              <w:rPr>
                <w:color w:val="000000"/>
                <w:sz w:val="16"/>
                <w:szCs w:val="16"/>
                <w:lang w:val="sq-AL"/>
              </w:rPr>
              <w:t xml:space="preserve">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Neidiaceae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Neidium</w:t>
            </w:r>
            <w:r>
              <w:rPr>
                <w:color w:val="000000"/>
                <w:sz w:val="16"/>
                <w:szCs w:val="16"/>
                <w:lang w:val="sq-AL"/>
              </w:rPr>
              <w:t xml:space="preserve"> </w:t>
            </w:r>
            <w:r>
              <w:rPr>
                <w:i/>
                <w:iCs/>
                <w:color w:val="000000"/>
                <w:sz w:val="16"/>
                <w:szCs w:val="16"/>
                <w:lang w:val="sq-AL"/>
              </w:rPr>
              <w:t>dubium</w:t>
            </w:r>
            <w:r>
              <w:rPr>
                <w:color w:val="000000"/>
                <w:sz w:val="16"/>
                <w:szCs w:val="16"/>
                <w:lang w:val="sq-AL"/>
              </w:rPr>
              <w:t xml:space="preserve"> (Ehrenberg) Cleve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 acicularis</w:t>
            </w:r>
            <w:r>
              <w:rPr>
                <w:color w:val="000000"/>
                <w:sz w:val="16"/>
                <w:szCs w:val="16"/>
                <w:lang w:val="sq-AL"/>
              </w:rPr>
              <w:t xml:space="preserve"> (Kützing) Ë.Smith</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amphibia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capitellata</w:t>
            </w:r>
            <w:r>
              <w:rPr>
                <w:color w:val="000000"/>
                <w:sz w:val="16"/>
                <w:szCs w:val="16"/>
                <w:lang w:val="sq-AL"/>
              </w:rPr>
              <w:t xml:space="preserve"> Hustedt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dissipata</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8.5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5.5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fonticola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 palea</w:t>
            </w:r>
            <w:r>
              <w:rPr>
                <w:color w:val="000000"/>
                <w:sz w:val="16"/>
                <w:szCs w:val="16"/>
                <w:lang w:val="sq-AL"/>
              </w:rPr>
              <w:t xml:space="preserve"> (Kützing) Ë.Smith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paleacea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Reimeria sinuata</w:t>
            </w:r>
            <w:r>
              <w:rPr>
                <w:color w:val="000000"/>
                <w:sz w:val="16"/>
                <w:szCs w:val="16"/>
                <w:lang w:val="sq-AL"/>
              </w:rPr>
              <w:t xml:space="preserve"> (Ë. Greg.) Kociolek &amp; Stoermer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Rhoicospheniaceae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Rhoicosphenia abbreviata</w:t>
            </w:r>
            <w:r>
              <w:rPr>
                <w:color w:val="000000"/>
                <w:sz w:val="16"/>
                <w:szCs w:val="16"/>
                <w:lang w:val="sq-AL"/>
              </w:rPr>
              <w:t xml:space="preserve"> (C. Agardh)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Surirellales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Surirellaceae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Surirella neglecta</w:t>
            </w:r>
            <w:r>
              <w:rPr>
                <w:color w:val="000000"/>
                <w:sz w:val="16"/>
                <w:szCs w:val="16"/>
                <w:lang w:val="sq-AL"/>
              </w:rPr>
              <w:t xml:space="preserve"> E. Reichardt</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Licmophorales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Ulnariaceae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Ulnaria</w:t>
            </w:r>
            <w:r>
              <w:rPr>
                <w:color w:val="000000"/>
                <w:sz w:val="16"/>
                <w:szCs w:val="16"/>
                <w:lang w:val="sq-AL"/>
              </w:rPr>
              <w:t xml:space="preserve"> </w:t>
            </w:r>
            <w:r>
              <w:rPr>
                <w:i/>
                <w:iCs/>
                <w:color w:val="000000"/>
                <w:sz w:val="16"/>
                <w:szCs w:val="16"/>
                <w:lang w:val="sq-AL"/>
              </w:rPr>
              <w:t>ulna</w:t>
            </w:r>
            <w:r>
              <w:rPr>
                <w:color w:val="000000"/>
                <w:sz w:val="16"/>
                <w:szCs w:val="16"/>
                <w:lang w:val="sq-AL"/>
              </w:rPr>
              <w:t xml:space="preserve"> (Nitzsch) Compère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Calibri" w:hAnsi="Calibri"/>
                <w:color w:val="000000"/>
                <w:sz w:val="22"/>
                <w:szCs w:val="22"/>
                <w:lang w:val="sq-AL"/>
              </w:rPr>
            </w:pPr>
            <w:r>
              <w:rPr>
                <w:rFonts w:ascii="Calibri" w:hAnsi="Calibri"/>
                <w:color w:val="000000"/>
                <w:sz w:val="16"/>
                <w:szCs w:val="16"/>
                <w:lang w:val="sq-AL"/>
              </w:rPr>
              <w:t>Toplluha Piranë</w:t>
            </w:r>
            <w:r>
              <w:rPr>
                <w:rFonts w:ascii="Calibri" w:hAnsi="Calibri"/>
                <w:color w:val="000000"/>
                <w:sz w:val="22"/>
                <w:szCs w:val="22"/>
                <w:lang w:val="sq-AL"/>
              </w:rPr>
              <w:t xml:space="preserve"> </w:t>
            </w: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Thalassiophysales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Catenulaceae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Amphora pediculus</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placentula</w:t>
            </w:r>
            <w:r>
              <w:rPr>
                <w:color w:val="000000"/>
                <w:sz w:val="16"/>
                <w:szCs w:val="16"/>
                <w:lang w:val="sq-AL"/>
              </w:rPr>
              <w:t xml:space="preserve"> var. </w:t>
            </w:r>
            <w:r>
              <w:rPr>
                <w:i/>
                <w:iCs/>
                <w:color w:val="000000"/>
                <w:sz w:val="16"/>
                <w:szCs w:val="16"/>
                <w:lang w:val="sq-AL"/>
              </w:rPr>
              <w:t>euglypta</w:t>
            </w:r>
            <w:r>
              <w:rPr>
                <w:color w:val="000000"/>
                <w:sz w:val="16"/>
                <w:szCs w:val="16"/>
                <w:lang w:val="sq-AL"/>
              </w:rPr>
              <w:t xml:space="preserve"> (Ehrenberg) Cleve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placentula</w:t>
            </w:r>
            <w:r>
              <w:rPr>
                <w:color w:val="000000"/>
                <w:sz w:val="16"/>
                <w:szCs w:val="16"/>
                <w:lang w:val="sq-AL"/>
              </w:rPr>
              <w:t xml:space="preserve"> var. </w:t>
            </w:r>
            <w:r>
              <w:rPr>
                <w:i/>
                <w:iCs/>
                <w:color w:val="000000"/>
                <w:sz w:val="16"/>
                <w:szCs w:val="16"/>
                <w:lang w:val="sq-AL"/>
              </w:rPr>
              <w:t>lineata</w:t>
            </w:r>
            <w:r>
              <w:rPr>
                <w:color w:val="000000"/>
                <w:sz w:val="16"/>
                <w:szCs w:val="16"/>
                <w:lang w:val="sq-AL"/>
              </w:rPr>
              <w:t xml:space="preserve"> (Ehrenberg) Cleve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Mediophyceae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Stephanodiscales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Stephanodiscaceae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Cyclotella meneghiniana</w:t>
            </w:r>
            <w:r>
              <w:rPr>
                <w:color w:val="000000"/>
                <w:sz w:val="16"/>
                <w:szCs w:val="16"/>
                <w:lang w:val="sq-AL"/>
              </w:rPr>
              <w:t xml:space="preserve">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8.5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Cymbopleura</w:t>
            </w:r>
            <w:r>
              <w:rPr>
                <w:color w:val="000000"/>
                <w:sz w:val="16"/>
                <w:szCs w:val="16"/>
                <w:lang w:val="sq-AL"/>
              </w:rPr>
              <w:t xml:space="preserve"> </w:t>
            </w:r>
            <w:r>
              <w:rPr>
                <w:i/>
                <w:iCs/>
                <w:color w:val="000000"/>
                <w:sz w:val="16"/>
                <w:szCs w:val="16"/>
                <w:lang w:val="sq-AL"/>
              </w:rPr>
              <w:t>amphycephala</w:t>
            </w:r>
            <w:r>
              <w:rPr>
                <w:color w:val="000000"/>
                <w:sz w:val="16"/>
                <w:szCs w:val="16"/>
                <w:lang w:val="sq-AL"/>
              </w:rPr>
              <w:t xml:space="preserve"> (Naegeli) Krammer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minutum</w:t>
            </w:r>
            <w:r>
              <w:rPr>
                <w:color w:val="000000"/>
                <w:sz w:val="16"/>
                <w:szCs w:val="16"/>
                <w:lang w:val="sq-AL"/>
              </w:rPr>
              <w:t xml:space="preserve"> (Hilse) D.G. Mann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Fragilariales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Fragilariaceae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Fragilaria recapitellata</w:t>
            </w:r>
            <w:r>
              <w:rPr>
                <w:color w:val="000000"/>
                <w:sz w:val="16"/>
                <w:szCs w:val="16"/>
                <w:lang w:val="sq-AL"/>
              </w:rPr>
              <w:t xml:space="preserve"> Lange-Bertalot &amp; D. Metzeltin</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minutum</w:t>
            </w:r>
            <w:r>
              <w:rPr>
                <w:color w:val="000000"/>
                <w:sz w:val="16"/>
                <w:szCs w:val="16"/>
                <w:lang w:val="sq-AL"/>
              </w:rPr>
              <w:t xml:space="preserve"> (C.Agardh) C.Agardh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olivaceum</w:t>
            </w:r>
            <w:r>
              <w:rPr>
                <w:color w:val="000000"/>
                <w:sz w:val="16"/>
                <w:szCs w:val="16"/>
                <w:lang w:val="sq-AL"/>
              </w:rPr>
              <w:t xml:space="preserve"> (Horneman) Brébisson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parvulum</w:t>
            </w:r>
            <w:r>
              <w:rPr>
                <w:color w:val="000000"/>
                <w:sz w:val="16"/>
                <w:szCs w:val="16"/>
                <w:lang w:val="sq-AL"/>
              </w:rPr>
              <w:t xml:space="preserve"> (Kützing)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7.5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pumilum</w:t>
            </w:r>
            <w:r>
              <w:rPr>
                <w:color w:val="000000"/>
                <w:sz w:val="16"/>
                <w:szCs w:val="16"/>
                <w:lang w:val="sq-AL"/>
              </w:rPr>
              <w:t xml:space="preserve"> (Grunoë) E. Reichardt &amp;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w:t>
            </w:r>
            <w:r>
              <w:rPr>
                <w:color w:val="000000"/>
                <w:sz w:val="16"/>
                <w:szCs w:val="16"/>
                <w:lang w:val="sq-AL"/>
              </w:rPr>
              <w:t xml:space="preserve"> </w:t>
            </w:r>
            <w:r>
              <w:rPr>
                <w:i/>
                <w:iCs/>
                <w:color w:val="000000"/>
                <w:sz w:val="16"/>
                <w:szCs w:val="16"/>
                <w:lang w:val="sq-AL"/>
              </w:rPr>
              <w:t>tergestinum</w:t>
            </w:r>
            <w:r>
              <w:rPr>
                <w:color w:val="000000"/>
                <w:sz w:val="16"/>
                <w:szCs w:val="16"/>
                <w:lang w:val="sq-AL"/>
              </w:rPr>
              <w:t xml:space="preserve"> Fricke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Naviculales </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Gyrosigma obtusatum</w:t>
            </w:r>
            <w:r>
              <w:rPr>
                <w:color w:val="000000"/>
                <w:sz w:val="16"/>
                <w:szCs w:val="16"/>
                <w:lang w:val="sq-AL"/>
              </w:rPr>
              <w:t xml:space="preserve"> (Sullivan &amp; Ëormley) C.S. Boyer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Naviculales </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Mayamaea atomus</w:t>
            </w:r>
            <w:r>
              <w:rPr>
                <w:color w:val="000000"/>
                <w:sz w:val="16"/>
                <w:szCs w:val="16"/>
                <w:lang w:val="sq-AL"/>
              </w:rPr>
              <w:t xml:space="preserve"> (Kützing) Lange-Bertalot</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68</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Coscinodiscophyceae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Melosirales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Melosiraceae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Melosira varians</w:t>
            </w:r>
            <w:r>
              <w:rPr>
                <w:color w:val="000000"/>
                <w:sz w:val="16"/>
                <w:szCs w:val="16"/>
                <w:lang w:val="sq-AL"/>
              </w:rPr>
              <w:t xml:space="preserve"> C.Agardh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antonii</w:t>
            </w:r>
            <w:r>
              <w:rPr>
                <w:color w:val="000000"/>
                <w:sz w:val="16"/>
                <w:szCs w:val="16"/>
                <w:lang w:val="sq-AL"/>
              </w:rPr>
              <w:t xml:space="preserve">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capitatoradiata </w:t>
            </w:r>
            <w:r>
              <w:rPr>
                <w:color w:val="000000"/>
                <w:sz w:val="16"/>
                <w:szCs w:val="16"/>
                <w:lang w:val="sq-AL"/>
              </w:rPr>
              <w:t>Germain</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cryptotenella </w:t>
            </w:r>
            <w:r>
              <w:rPr>
                <w:color w:val="000000"/>
                <w:sz w:val="16"/>
                <w:szCs w:val="16"/>
                <w:lang w:val="sq-AL"/>
              </w:rPr>
              <w:t xml:space="preserve">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gregaria</w:t>
            </w:r>
            <w:r>
              <w:rPr>
                <w:color w:val="000000"/>
                <w:sz w:val="16"/>
                <w:szCs w:val="16"/>
                <w:lang w:val="sq-AL"/>
              </w:rPr>
              <w:t xml:space="preserve"> Donkin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Navicula lanceolata </w:t>
            </w:r>
            <w:r>
              <w:rPr>
                <w:color w:val="000000"/>
                <w:sz w:val="16"/>
                <w:szCs w:val="16"/>
                <w:lang w:val="sq-AL"/>
              </w:rPr>
              <w:t xml:space="preserve">(C. Agardh)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tripunctata</w:t>
            </w:r>
            <w:r>
              <w:rPr>
                <w:color w:val="000000"/>
                <w:sz w:val="16"/>
                <w:szCs w:val="16"/>
                <w:lang w:val="sq-AL"/>
              </w:rPr>
              <w:t xml:space="preserve"> (O.F.Müller) Bory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trivialis</w:t>
            </w:r>
            <w:r>
              <w:rPr>
                <w:color w:val="000000"/>
                <w:sz w:val="16"/>
                <w:szCs w:val="16"/>
                <w:lang w:val="sq-AL"/>
              </w:rPr>
              <w:t xml:space="preserve">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veneta </w:t>
            </w:r>
            <w:r>
              <w:rPr>
                <w:color w:val="000000"/>
                <w:sz w:val="16"/>
                <w:szCs w:val="16"/>
                <w:lang w:val="sq-AL"/>
              </w:rPr>
              <w:t xml:space="preserve">Kützing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capitellata</w:t>
            </w:r>
            <w:r>
              <w:rPr>
                <w:color w:val="000000"/>
                <w:sz w:val="16"/>
                <w:szCs w:val="16"/>
                <w:lang w:val="sq-AL"/>
              </w:rPr>
              <w:t xml:space="preserve"> Hustedt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dissipata</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 palea</w:t>
            </w:r>
            <w:r>
              <w:rPr>
                <w:color w:val="000000"/>
                <w:sz w:val="16"/>
                <w:szCs w:val="16"/>
                <w:lang w:val="sq-AL"/>
              </w:rPr>
              <w:t xml:space="preserve"> (Kützing) Ë.Smith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paleacea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recta</w:t>
            </w:r>
            <w:r>
              <w:rPr>
                <w:color w:val="000000"/>
                <w:sz w:val="16"/>
                <w:szCs w:val="16"/>
                <w:lang w:val="sq-AL"/>
              </w:rPr>
              <w:t xml:space="preserve"> Hantzsch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Planothidium frequentissimum</w:t>
            </w:r>
            <w:r>
              <w:rPr>
                <w:color w:val="000000"/>
                <w:sz w:val="16"/>
                <w:szCs w:val="16"/>
                <w:lang w:val="sq-AL"/>
              </w:rPr>
              <w:t xml:space="preserve"> (Lange-Bertalot)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Sellaphoraceae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Sellaphora</w:t>
            </w:r>
            <w:r>
              <w:rPr>
                <w:color w:val="000000"/>
                <w:sz w:val="16"/>
                <w:szCs w:val="16"/>
                <w:lang w:val="sq-AL"/>
              </w:rPr>
              <w:t xml:space="preserve"> </w:t>
            </w:r>
            <w:r>
              <w:rPr>
                <w:i/>
                <w:iCs/>
                <w:color w:val="000000"/>
                <w:sz w:val="16"/>
                <w:szCs w:val="16"/>
                <w:lang w:val="sq-AL"/>
              </w:rPr>
              <w:t>pupula</w:t>
            </w:r>
            <w:r>
              <w:rPr>
                <w:color w:val="000000"/>
                <w:sz w:val="16"/>
                <w:szCs w:val="16"/>
                <w:lang w:val="sq-AL"/>
              </w:rPr>
              <w:t xml:space="preserve"> (Kützing) Mereschkoësky</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Surirellales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Surirellaceae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Surirella angusta</w:t>
            </w:r>
            <w:r>
              <w:rPr>
                <w:color w:val="000000"/>
                <w:sz w:val="16"/>
                <w:szCs w:val="16"/>
                <w:lang w:val="sq-AL"/>
              </w:rPr>
              <w:t xml:space="preserve"> Kützing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Surirellales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Surirellaceae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Surirella neglecta</w:t>
            </w:r>
            <w:r>
              <w:rPr>
                <w:color w:val="000000"/>
                <w:sz w:val="16"/>
                <w:szCs w:val="16"/>
                <w:lang w:val="sq-AL"/>
              </w:rPr>
              <w:t xml:space="preserve"> E. Reichardt</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Tryblionella constricta</w:t>
            </w:r>
            <w:r>
              <w:rPr>
                <w:color w:val="000000"/>
                <w:sz w:val="16"/>
                <w:szCs w:val="16"/>
                <w:lang w:val="sq-AL"/>
              </w:rPr>
              <w:t xml:space="preserve"> Ë. Smith</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Licmophorales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Ulnariaceae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Ulnaria</w:t>
            </w:r>
            <w:r>
              <w:rPr>
                <w:color w:val="000000"/>
                <w:sz w:val="16"/>
                <w:szCs w:val="16"/>
                <w:lang w:val="sq-AL"/>
              </w:rPr>
              <w:t xml:space="preserve"> </w:t>
            </w:r>
            <w:r>
              <w:rPr>
                <w:i/>
                <w:iCs/>
                <w:color w:val="000000"/>
                <w:sz w:val="16"/>
                <w:szCs w:val="16"/>
                <w:lang w:val="sq-AL"/>
              </w:rPr>
              <w:t>ulna</w:t>
            </w:r>
            <w:r>
              <w:rPr>
                <w:color w:val="000000"/>
                <w:sz w:val="16"/>
                <w:szCs w:val="16"/>
                <w:lang w:val="sq-AL"/>
              </w:rPr>
              <w:t xml:space="preserve"> (Nitzsch) Compère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16"/>
                <w:szCs w:val="16"/>
                <w:lang w:val="sq-AL"/>
              </w:rPr>
            </w:pPr>
            <w:r>
              <w:rPr>
                <w:rFonts w:ascii="Calibri" w:hAnsi="Calibri"/>
                <w:color w:val="000000"/>
                <w:sz w:val="16"/>
                <w:szCs w:val="16"/>
                <w:lang w:val="sq-AL"/>
              </w:rPr>
              <w:t>Lumbardhi i Prizrenit Vlashnje</w:t>
            </w: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Achnanthidium minutissimum</w:t>
            </w:r>
            <w:r>
              <w:rPr>
                <w:color w:val="000000"/>
                <w:sz w:val="16"/>
                <w:szCs w:val="16"/>
                <w:lang w:val="sq-AL"/>
              </w:rPr>
              <w:t xml:space="preserve"> (Kützing) Czarnecki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Thalassiophysales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Catenulaceae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Amphora pediculus</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Mediophyceae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Stephanodiscales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Stephanodiscaceae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Cyclotella meneghiniana</w:t>
            </w:r>
            <w:r>
              <w:rPr>
                <w:color w:val="000000"/>
                <w:sz w:val="16"/>
                <w:szCs w:val="16"/>
                <w:lang w:val="sq-AL"/>
              </w:rPr>
              <w:t xml:space="preserve">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Cymbellaceae</w:t>
            </w:r>
          </w:p>
        </w:tc>
        <w:tc>
          <w:tcPr>
            <w:tcW w:w="4679" w:type="dxa"/>
            <w:tcBorders>
              <w:top w:val="nil"/>
              <w:left w:val="nil"/>
              <w:bottom w:val="single" w:sz="4" w:space="0" w:color="auto"/>
              <w:right w:val="single" w:sz="4" w:space="0" w:color="auto"/>
            </w:tcBorders>
            <w:shd w:val="clear" w:color="auto" w:fill="auto"/>
            <w:noWrap/>
            <w:vAlign w:val="bottom"/>
            <w:hideMark/>
          </w:tcPr>
          <w:p>
            <w:pPr>
              <w:jc w:val="both"/>
              <w:rPr>
                <w:i/>
                <w:iCs/>
                <w:color w:val="000000"/>
                <w:sz w:val="16"/>
                <w:szCs w:val="16"/>
                <w:lang w:val="sq-AL"/>
              </w:rPr>
            </w:pPr>
            <w:r>
              <w:rPr>
                <w:i/>
                <w:iCs/>
                <w:color w:val="000000"/>
                <w:sz w:val="16"/>
                <w:szCs w:val="16"/>
                <w:lang w:val="sq-AL"/>
              </w:rPr>
              <w:t>Cymbella</w:t>
            </w:r>
            <w:r>
              <w:rPr>
                <w:color w:val="000000"/>
                <w:sz w:val="16"/>
                <w:szCs w:val="16"/>
                <w:lang w:val="sq-AL"/>
              </w:rPr>
              <w:t xml:space="preserve"> </w:t>
            </w:r>
            <w:r>
              <w:rPr>
                <w:i/>
                <w:iCs/>
                <w:color w:val="000000"/>
                <w:sz w:val="16"/>
                <w:szCs w:val="16"/>
                <w:lang w:val="sq-AL"/>
              </w:rPr>
              <w:t>compacta</w:t>
            </w:r>
            <w:r>
              <w:rPr>
                <w:color w:val="000000"/>
                <w:sz w:val="16"/>
                <w:szCs w:val="16"/>
                <w:lang w:val="sq-AL"/>
              </w:rPr>
              <w:t xml:space="preserve"> Østrup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Stauroneidaceae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Fistulifera saprophila</w:t>
            </w:r>
            <w:r>
              <w:rPr>
                <w:color w:val="000000"/>
                <w:sz w:val="16"/>
                <w:szCs w:val="16"/>
                <w:lang w:val="sq-AL"/>
              </w:rPr>
              <w:t xml:space="preserve"> (Lange-Bertalot &amp; Bonik) Lange-Bertalot</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8.5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Fragilariales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Fragilariaceae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Fragilaria recapitellata</w:t>
            </w:r>
            <w:r>
              <w:rPr>
                <w:color w:val="000000"/>
                <w:sz w:val="16"/>
                <w:szCs w:val="16"/>
                <w:lang w:val="sq-AL"/>
              </w:rPr>
              <w:t xml:space="preserve"> Lange-Bertalot &amp; D. Metzeltin</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pumilum</w:t>
            </w:r>
            <w:r>
              <w:rPr>
                <w:color w:val="000000"/>
                <w:sz w:val="16"/>
                <w:szCs w:val="16"/>
                <w:lang w:val="sq-AL"/>
              </w:rPr>
              <w:t xml:space="preserve"> (Grunoë) E. Reichardt &amp;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Naviculales </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Mayamaea atomus</w:t>
            </w:r>
            <w:r>
              <w:rPr>
                <w:color w:val="000000"/>
                <w:sz w:val="16"/>
                <w:szCs w:val="16"/>
                <w:lang w:val="sq-AL"/>
              </w:rPr>
              <w:t xml:space="preserve"> (Kützing) Lange-Bertalot</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6.5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cryptotenella </w:t>
            </w:r>
            <w:r>
              <w:rPr>
                <w:color w:val="000000"/>
                <w:sz w:val="16"/>
                <w:szCs w:val="16"/>
                <w:lang w:val="sq-AL"/>
              </w:rPr>
              <w:t xml:space="preserve">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48.5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gregaria</w:t>
            </w:r>
            <w:r>
              <w:rPr>
                <w:color w:val="000000"/>
                <w:sz w:val="16"/>
                <w:szCs w:val="16"/>
                <w:lang w:val="sq-AL"/>
              </w:rPr>
              <w:t xml:space="preserve"> Donkin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Navicula lanceolata </w:t>
            </w:r>
            <w:r>
              <w:rPr>
                <w:color w:val="000000"/>
                <w:sz w:val="16"/>
                <w:szCs w:val="16"/>
                <w:lang w:val="sq-AL"/>
              </w:rPr>
              <w:t xml:space="preserve">(C. Agardh)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tripunctata</w:t>
            </w:r>
            <w:r>
              <w:rPr>
                <w:color w:val="000000"/>
                <w:sz w:val="16"/>
                <w:szCs w:val="16"/>
                <w:lang w:val="sq-AL"/>
              </w:rPr>
              <w:t xml:space="preserve"> (O.F.Müller) Bory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5.5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veneta </w:t>
            </w:r>
            <w:r>
              <w:rPr>
                <w:color w:val="000000"/>
                <w:sz w:val="16"/>
                <w:szCs w:val="16"/>
                <w:lang w:val="sq-AL"/>
              </w:rPr>
              <w:t xml:space="preserve">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5.5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dissipata</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7.5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inconspicua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 palea</w:t>
            </w:r>
            <w:r>
              <w:rPr>
                <w:color w:val="000000"/>
                <w:sz w:val="16"/>
                <w:szCs w:val="16"/>
                <w:lang w:val="sq-AL"/>
              </w:rPr>
              <w:t xml:space="preserve"> (Kützing) Ë.Smith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paleacea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16"/>
                <w:szCs w:val="16"/>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Rhoicospheniaceae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Rhoicosphenia abbreviata</w:t>
            </w:r>
            <w:r>
              <w:rPr>
                <w:color w:val="000000"/>
                <w:sz w:val="16"/>
                <w:szCs w:val="16"/>
                <w:lang w:val="sq-AL"/>
              </w:rPr>
              <w:t xml:space="preserve"> (C. Agardh)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22"/>
                <w:szCs w:val="22"/>
                <w:lang w:val="sq-AL"/>
              </w:rPr>
            </w:pPr>
            <w:r>
              <w:rPr>
                <w:rFonts w:ascii="Calibri" w:hAnsi="Calibri"/>
                <w:color w:val="000000"/>
                <w:sz w:val="22"/>
                <w:szCs w:val="22"/>
                <w:lang w:val="sq-AL"/>
              </w:rPr>
              <w:t> </w:t>
            </w:r>
          </w:p>
        </w:tc>
      </w:tr>
      <w:tr>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Calibri" w:hAnsi="Calibri"/>
                <w:color w:val="000000"/>
                <w:sz w:val="22"/>
                <w:szCs w:val="22"/>
                <w:lang w:val="sq-AL"/>
              </w:rPr>
            </w:pPr>
            <w:r>
              <w:rPr>
                <w:rFonts w:ascii="Calibri" w:hAnsi="Calibri"/>
                <w:color w:val="000000"/>
                <w:sz w:val="16"/>
                <w:szCs w:val="16"/>
                <w:lang w:val="sq-AL"/>
              </w:rPr>
              <w:t>Drini i Bardhë Vërmicë</w:t>
            </w:r>
            <w:r>
              <w:rPr>
                <w:rFonts w:ascii="Calibri" w:hAnsi="Calibri"/>
                <w:color w:val="000000"/>
                <w:sz w:val="22"/>
                <w:szCs w:val="22"/>
                <w:lang w:val="sq-AL"/>
              </w:rPr>
              <w:t xml:space="preserve"> </w:t>
            </w: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Achnanthidiaceae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Achnanthidium minutissimum</w:t>
            </w:r>
            <w:r>
              <w:rPr>
                <w:color w:val="000000"/>
                <w:sz w:val="16"/>
                <w:szCs w:val="16"/>
                <w:lang w:val="sq-AL"/>
              </w:rPr>
              <w:t xml:space="preserve"> (Kützing) Czarnecki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Thalassiophysales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Catenulaceae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Amphora pediculus</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pediculus</w:t>
            </w:r>
            <w:r>
              <w:rPr>
                <w:color w:val="000000"/>
                <w:sz w:val="16"/>
                <w:szCs w:val="16"/>
                <w:lang w:val="sq-AL"/>
              </w:rPr>
              <w:t xml:space="preserve"> Ehrenberg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Cocconeidaceae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Cocconeis</w:t>
            </w:r>
            <w:r>
              <w:rPr>
                <w:color w:val="000000"/>
                <w:sz w:val="16"/>
                <w:szCs w:val="16"/>
                <w:lang w:val="sq-AL"/>
              </w:rPr>
              <w:t xml:space="preserve"> </w:t>
            </w:r>
            <w:r>
              <w:rPr>
                <w:i/>
                <w:iCs/>
                <w:color w:val="000000"/>
                <w:sz w:val="16"/>
                <w:szCs w:val="16"/>
                <w:lang w:val="sq-AL"/>
              </w:rPr>
              <w:t>placentula</w:t>
            </w:r>
            <w:r>
              <w:rPr>
                <w:color w:val="000000"/>
                <w:sz w:val="16"/>
                <w:szCs w:val="16"/>
                <w:lang w:val="sq-AL"/>
              </w:rPr>
              <w:t xml:space="preserve"> var. </w:t>
            </w:r>
            <w:r>
              <w:rPr>
                <w:i/>
                <w:iCs/>
                <w:color w:val="000000"/>
                <w:sz w:val="16"/>
                <w:szCs w:val="16"/>
                <w:lang w:val="sq-AL"/>
              </w:rPr>
              <w:t>euglypta</w:t>
            </w:r>
            <w:r>
              <w:rPr>
                <w:color w:val="000000"/>
                <w:sz w:val="16"/>
                <w:szCs w:val="16"/>
                <w:lang w:val="sq-AL"/>
              </w:rPr>
              <w:t xml:space="preserve"> (Ehrenberg) Cleve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Mediophyceae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Stephanodiscales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 Stephanodiscaceae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Cyclotella meneghiniana</w:t>
            </w:r>
            <w:r>
              <w:rPr>
                <w:color w:val="000000"/>
                <w:sz w:val="16"/>
                <w:szCs w:val="16"/>
                <w:lang w:val="sq-AL"/>
              </w:rPr>
              <w:t xml:space="preserve">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Tabellariaceae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Diatoma vulgaris </w:t>
            </w:r>
            <w:r>
              <w:rPr>
                <w:color w:val="000000"/>
                <w:sz w:val="16"/>
                <w:szCs w:val="16"/>
                <w:lang w:val="sq-AL"/>
              </w:rPr>
              <w:t>Bory</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Encyonema</w:t>
            </w:r>
            <w:r>
              <w:rPr>
                <w:color w:val="000000"/>
                <w:sz w:val="16"/>
                <w:szCs w:val="16"/>
                <w:lang w:val="sq-AL"/>
              </w:rPr>
              <w:t xml:space="preserve"> </w:t>
            </w:r>
            <w:r>
              <w:rPr>
                <w:i/>
                <w:iCs/>
                <w:color w:val="000000"/>
                <w:sz w:val="16"/>
                <w:szCs w:val="16"/>
                <w:lang w:val="sq-AL"/>
              </w:rPr>
              <w:t>minutum</w:t>
            </w:r>
            <w:r>
              <w:rPr>
                <w:color w:val="000000"/>
                <w:sz w:val="16"/>
                <w:szCs w:val="16"/>
                <w:lang w:val="sq-AL"/>
              </w:rPr>
              <w:t xml:space="preserve"> (Hilse) D.G. Mann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Stauroneidaceae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Fistulifera saprophila</w:t>
            </w:r>
            <w:r>
              <w:rPr>
                <w:color w:val="000000"/>
                <w:sz w:val="16"/>
                <w:szCs w:val="16"/>
                <w:lang w:val="sq-AL"/>
              </w:rPr>
              <w:t xml:space="preserve"> (Lange-Bertalot &amp; Bonik) Lange-Bertalot</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minutum</w:t>
            </w:r>
            <w:r>
              <w:rPr>
                <w:color w:val="000000"/>
                <w:sz w:val="16"/>
                <w:szCs w:val="16"/>
                <w:lang w:val="sq-AL"/>
              </w:rPr>
              <w:t xml:space="preserve"> (C.Agardh) C.Agardh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17.5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olivaceum</w:t>
            </w:r>
            <w:r>
              <w:rPr>
                <w:color w:val="000000"/>
                <w:sz w:val="16"/>
                <w:szCs w:val="16"/>
                <w:lang w:val="sq-AL"/>
              </w:rPr>
              <w:t xml:space="preserve"> (Horneman) Brébisson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parvulum</w:t>
            </w:r>
            <w:r>
              <w:rPr>
                <w:color w:val="000000"/>
                <w:sz w:val="16"/>
                <w:szCs w:val="16"/>
                <w:lang w:val="sq-AL"/>
              </w:rPr>
              <w:t xml:space="preserve"> (Kützing) 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 pumilum</w:t>
            </w:r>
            <w:r>
              <w:rPr>
                <w:color w:val="000000"/>
                <w:sz w:val="16"/>
                <w:szCs w:val="16"/>
                <w:lang w:val="sq-AL"/>
              </w:rPr>
              <w:t xml:space="preserve"> (Grunoë) E. Reichardt &amp;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Gomphonema</w:t>
            </w:r>
            <w:r>
              <w:rPr>
                <w:color w:val="000000"/>
                <w:sz w:val="16"/>
                <w:szCs w:val="16"/>
                <w:lang w:val="sq-AL"/>
              </w:rPr>
              <w:t xml:space="preserve"> </w:t>
            </w:r>
            <w:r>
              <w:rPr>
                <w:i/>
                <w:iCs/>
                <w:color w:val="000000"/>
                <w:sz w:val="16"/>
                <w:szCs w:val="16"/>
                <w:lang w:val="sq-AL"/>
              </w:rPr>
              <w:t>tergestinum</w:t>
            </w:r>
            <w:r>
              <w:rPr>
                <w:color w:val="000000"/>
                <w:sz w:val="16"/>
                <w:szCs w:val="16"/>
                <w:lang w:val="sq-AL"/>
              </w:rPr>
              <w:t xml:space="preserve"> Fricke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Naviculales </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Gyrosigma obtusatum</w:t>
            </w:r>
            <w:r>
              <w:rPr>
                <w:color w:val="000000"/>
                <w:sz w:val="16"/>
                <w:szCs w:val="16"/>
                <w:lang w:val="sq-AL"/>
              </w:rPr>
              <w:t xml:space="preserve"> (Sullivan &amp; Ëormley) C.S. Boyer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 xml:space="preserve">Naviculales </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Mayamaea atomus</w:t>
            </w:r>
            <w:r>
              <w:rPr>
                <w:color w:val="000000"/>
                <w:sz w:val="16"/>
                <w:szCs w:val="16"/>
                <w:lang w:val="sq-AL"/>
              </w:rPr>
              <w:t xml:space="preserve"> (Kützing) Lange-Bertalot</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57.5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9.5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Coscinodiscophyceae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Melosirales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Melosiraceae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Melosira varians</w:t>
            </w:r>
            <w:r>
              <w:rPr>
                <w:color w:val="000000"/>
                <w:sz w:val="16"/>
                <w:szCs w:val="16"/>
                <w:lang w:val="sq-AL"/>
              </w:rPr>
              <w:t xml:space="preserve"> C.Agardh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antonii</w:t>
            </w:r>
            <w:r>
              <w:rPr>
                <w:color w:val="000000"/>
                <w:sz w:val="16"/>
                <w:szCs w:val="16"/>
                <w:lang w:val="sq-AL"/>
              </w:rPr>
              <w:t xml:space="preserve"> 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capitatoradiata </w:t>
            </w:r>
            <w:r>
              <w:rPr>
                <w:color w:val="000000"/>
                <w:sz w:val="16"/>
                <w:szCs w:val="16"/>
                <w:lang w:val="sq-AL"/>
              </w:rPr>
              <w:t>Germain</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cryptotenella </w:t>
            </w:r>
            <w:r>
              <w:rPr>
                <w:color w:val="000000"/>
                <w:sz w:val="16"/>
                <w:szCs w:val="16"/>
                <w:lang w:val="sq-AL"/>
              </w:rPr>
              <w:t xml:space="preserve">Lange-Bertalot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6.5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8.5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gregaria</w:t>
            </w:r>
            <w:r>
              <w:rPr>
                <w:color w:val="000000"/>
                <w:sz w:val="16"/>
                <w:szCs w:val="16"/>
                <w:lang w:val="sq-AL"/>
              </w:rPr>
              <w:t xml:space="preserve"> Donkin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 tripunctata</w:t>
            </w:r>
            <w:r>
              <w:rPr>
                <w:color w:val="000000"/>
                <w:sz w:val="16"/>
                <w:szCs w:val="16"/>
                <w:lang w:val="sq-AL"/>
              </w:rPr>
              <w:t xml:space="preserve"> (O.F.Müller) Bory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Naviculaceae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Navicula</w:t>
            </w:r>
            <w:r>
              <w:rPr>
                <w:color w:val="000000"/>
                <w:sz w:val="16"/>
                <w:szCs w:val="16"/>
                <w:lang w:val="sq-AL"/>
              </w:rPr>
              <w:t xml:space="preserve"> </w:t>
            </w:r>
            <w:r>
              <w:rPr>
                <w:i/>
                <w:iCs/>
                <w:color w:val="000000"/>
                <w:sz w:val="16"/>
                <w:szCs w:val="16"/>
                <w:lang w:val="sq-AL"/>
              </w:rPr>
              <w:t xml:space="preserve">veneta </w:t>
            </w:r>
            <w:r>
              <w:rPr>
                <w:color w:val="000000"/>
                <w:sz w:val="16"/>
                <w:szCs w:val="16"/>
                <w:lang w:val="sq-AL"/>
              </w:rPr>
              <w:t xml:space="preserve">Kützing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dissipata</w:t>
            </w:r>
            <w:r>
              <w:rPr>
                <w:color w:val="000000"/>
                <w:sz w:val="16"/>
                <w:szCs w:val="16"/>
                <w:lang w:val="sq-AL"/>
              </w:rPr>
              <w:t xml:space="preserve"> (Kützing)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3</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fonticola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inconspicua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 palea</w:t>
            </w:r>
            <w:r>
              <w:rPr>
                <w:color w:val="000000"/>
                <w:sz w:val="16"/>
                <w:szCs w:val="16"/>
                <w:lang w:val="sq-AL"/>
              </w:rPr>
              <w:t xml:space="preserve"> (Kützing) Ë.Smith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8.5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Nitzschia</w:t>
            </w:r>
            <w:r>
              <w:rPr>
                <w:color w:val="000000"/>
                <w:sz w:val="16"/>
                <w:szCs w:val="16"/>
                <w:lang w:val="sq-AL"/>
              </w:rPr>
              <w:t xml:space="preserve"> </w:t>
            </w:r>
            <w:r>
              <w:rPr>
                <w:i/>
                <w:iCs/>
                <w:color w:val="000000"/>
                <w:sz w:val="16"/>
                <w:szCs w:val="16"/>
                <w:lang w:val="sq-AL"/>
              </w:rPr>
              <w:t>paleacea</w:t>
            </w:r>
            <w:r>
              <w:rPr>
                <w:color w:val="000000"/>
                <w:sz w:val="16"/>
                <w:szCs w:val="16"/>
                <w:lang w:val="sq-AL"/>
              </w:rPr>
              <w:t xml:space="preserve"> Grunoë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2</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4.5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Cymbellales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Gomphonemataceae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Reimeria sinuata</w:t>
            </w:r>
            <w:r>
              <w:rPr>
                <w:color w:val="000000"/>
                <w:sz w:val="16"/>
                <w:szCs w:val="16"/>
                <w:lang w:val="sq-AL"/>
              </w:rPr>
              <w:t xml:space="preserve"> (Ë. Greg.) Kociolek &amp; Stoermer </w:t>
            </w:r>
          </w:p>
        </w:tc>
        <w:tc>
          <w:tcPr>
            <w:tcW w:w="739"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Coscinodiscophyceae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Thalassiosirales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Thalassiosiraceae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 xml:space="preserve">Conticribra ëeissflogii </w:t>
            </w:r>
            <w:r>
              <w:rPr>
                <w:color w:val="000000"/>
                <w:sz w:val="16"/>
                <w:szCs w:val="16"/>
                <w:lang w:val="sq-AL"/>
              </w:rPr>
              <w:t>(Grunoë) Stachura-Suchoples &amp; D.M.Ëilliams</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0.5</w:t>
            </w:r>
          </w:p>
        </w:tc>
      </w:tr>
      <w:tr>
        <w:trPr>
          <w:trHeight w:val="300"/>
        </w:trPr>
        <w:tc>
          <w:tcPr>
            <w:tcW w:w="1476" w:type="dxa"/>
            <w:vMerge/>
            <w:tcBorders>
              <w:top w:val="nil"/>
              <w:left w:val="single" w:sz="4" w:space="0" w:color="auto"/>
              <w:bottom w:val="single" w:sz="4" w:space="0" w:color="auto"/>
              <w:right w:val="single" w:sz="4" w:space="0" w:color="auto"/>
            </w:tcBorders>
            <w:vAlign w:val="center"/>
            <w:hideMark/>
          </w:tcPr>
          <w:p>
            <w:pPr>
              <w:rPr>
                <w:rFonts w:ascii="Calibri" w:hAnsi="Calibri"/>
                <w:color w:val="000000"/>
                <w:sz w:val="22"/>
                <w:szCs w:val="22"/>
                <w:lang w:val="sq-AL"/>
              </w:rPr>
            </w:pPr>
          </w:p>
        </w:tc>
        <w:tc>
          <w:tcPr>
            <w:tcW w:w="1178"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Bacillariophyta</w:t>
            </w:r>
          </w:p>
        </w:tc>
        <w:tc>
          <w:tcPr>
            <w:tcW w:w="1499"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Bacillariophyceaee</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Licmophorales</w:t>
            </w:r>
          </w:p>
        </w:tc>
        <w:tc>
          <w:tcPr>
            <w:tcW w:w="1637" w:type="dxa"/>
            <w:tcBorders>
              <w:top w:val="nil"/>
              <w:left w:val="nil"/>
              <w:bottom w:val="single" w:sz="4" w:space="0" w:color="auto"/>
              <w:right w:val="single" w:sz="4" w:space="0" w:color="auto"/>
            </w:tcBorders>
            <w:shd w:val="clear" w:color="auto" w:fill="auto"/>
            <w:noWrap/>
            <w:vAlign w:val="bottom"/>
            <w:hideMark/>
          </w:tcPr>
          <w:p>
            <w:pPr>
              <w:rPr>
                <w:rFonts w:ascii="Calibri" w:hAnsi="Calibri"/>
                <w:color w:val="000000"/>
                <w:sz w:val="16"/>
                <w:szCs w:val="16"/>
                <w:lang w:val="sq-AL"/>
              </w:rPr>
            </w:pPr>
            <w:r>
              <w:rPr>
                <w:rFonts w:ascii="Calibri" w:hAnsi="Calibri"/>
                <w:color w:val="000000"/>
                <w:sz w:val="16"/>
                <w:szCs w:val="16"/>
                <w:lang w:val="sq-AL"/>
              </w:rPr>
              <w:t>Ulnariaceae</w:t>
            </w:r>
          </w:p>
        </w:tc>
        <w:tc>
          <w:tcPr>
            <w:tcW w:w="4679" w:type="dxa"/>
            <w:tcBorders>
              <w:top w:val="nil"/>
              <w:left w:val="nil"/>
              <w:bottom w:val="single" w:sz="4" w:space="0" w:color="auto"/>
              <w:right w:val="single" w:sz="4" w:space="0" w:color="auto"/>
            </w:tcBorders>
            <w:shd w:val="clear" w:color="auto" w:fill="auto"/>
            <w:noWrap/>
            <w:vAlign w:val="bottom"/>
            <w:hideMark/>
          </w:tcPr>
          <w:p>
            <w:pPr>
              <w:rPr>
                <w:i/>
                <w:iCs/>
                <w:color w:val="000000"/>
                <w:sz w:val="16"/>
                <w:szCs w:val="16"/>
                <w:lang w:val="sq-AL"/>
              </w:rPr>
            </w:pPr>
            <w:r>
              <w:rPr>
                <w:i/>
                <w:iCs/>
                <w:color w:val="000000"/>
                <w:sz w:val="16"/>
                <w:szCs w:val="16"/>
                <w:lang w:val="sq-AL"/>
              </w:rPr>
              <w:t>Ulnaria</w:t>
            </w:r>
            <w:r>
              <w:rPr>
                <w:color w:val="000000"/>
                <w:sz w:val="16"/>
                <w:szCs w:val="16"/>
                <w:lang w:val="sq-AL"/>
              </w:rPr>
              <w:t xml:space="preserve"> </w:t>
            </w:r>
            <w:r>
              <w:rPr>
                <w:i/>
                <w:iCs/>
                <w:color w:val="000000"/>
                <w:sz w:val="16"/>
                <w:szCs w:val="16"/>
                <w:lang w:val="sq-AL"/>
              </w:rPr>
              <w:t>ulna</w:t>
            </w:r>
            <w:r>
              <w:rPr>
                <w:color w:val="000000"/>
                <w:sz w:val="16"/>
                <w:szCs w:val="16"/>
                <w:lang w:val="sq-AL"/>
              </w:rPr>
              <w:t xml:space="preserve"> (Nitzsch) Compère </w:t>
            </w:r>
          </w:p>
        </w:tc>
        <w:tc>
          <w:tcPr>
            <w:tcW w:w="739" w:type="dxa"/>
            <w:tcBorders>
              <w:top w:val="nil"/>
              <w:left w:val="nil"/>
              <w:bottom w:val="single" w:sz="4" w:space="0" w:color="auto"/>
              <w:right w:val="single" w:sz="4" w:space="0" w:color="auto"/>
            </w:tcBorders>
            <w:shd w:val="clear" w:color="auto" w:fill="auto"/>
            <w:noWrap/>
            <w:vAlign w:val="bottom"/>
            <w:hideMark/>
          </w:tcPr>
          <w:p>
            <w:pPr>
              <w:rPr>
                <w:color w:val="000000"/>
                <w:sz w:val="16"/>
                <w:szCs w:val="16"/>
                <w:lang w:val="sq-AL"/>
              </w:rPr>
            </w:pPr>
            <w:r>
              <w:rPr>
                <w:color w:val="000000"/>
                <w:sz w:val="16"/>
                <w:szCs w:val="16"/>
                <w:lang w:val="sq-AL"/>
              </w:rPr>
              <w:t> </w:t>
            </w:r>
          </w:p>
        </w:tc>
        <w:tc>
          <w:tcPr>
            <w:tcW w:w="755" w:type="dxa"/>
            <w:tcBorders>
              <w:top w:val="nil"/>
              <w:left w:val="nil"/>
              <w:bottom w:val="single" w:sz="4" w:space="0" w:color="auto"/>
              <w:right w:val="single" w:sz="4" w:space="0" w:color="auto"/>
            </w:tcBorders>
            <w:shd w:val="clear" w:color="auto" w:fill="auto"/>
            <w:noWrap/>
            <w:vAlign w:val="bottom"/>
            <w:hideMark/>
          </w:tcPr>
          <w:p>
            <w:pPr>
              <w:jc w:val="right"/>
              <w:rPr>
                <w:color w:val="000000"/>
                <w:sz w:val="16"/>
                <w:szCs w:val="16"/>
                <w:lang w:val="sq-AL"/>
              </w:rPr>
            </w:pPr>
            <w:r>
              <w:rPr>
                <w:color w:val="000000"/>
                <w:sz w:val="16"/>
                <w:szCs w:val="16"/>
                <w:lang w:val="sq-AL"/>
              </w:rPr>
              <w:t>1</w:t>
            </w:r>
          </w:p>
        </w:tc>
      </w:tr>
    </w:tbl>
    <w:p>
      <w:pPr>
        <w:pStyle w:val="Caption"/>
        <w:jc w:val="center"/>
        <w:rPr>
          <w:rFonts w:ascii="Calibri" w:hAnsi="Calibri"/>
          <w:b/>
          <w:bCs/>
          <w:sz w:val="22"/>
          <w:szCs w:val="22"/>
          <w:lang w:val="sq-AL"/>
        </w:rPr>
      </w:pPr>
    </w:p>
    <w:p>
      <w:pPr>
        <w:pStyle w:val="BodyText"/>
        <w:rPr>
          <w:lang w:val="sq-AL" w:eastAsia="hi-IN" w:bidi="hi-IN"/>
        </w:rPr>
      </w:pPr>
    </w:p>
    <w:p>
      <w:pPr>
        <w:pStyle w:val="Heading2"/>
        <w:numPr>
          <w:ilvl w:val="0"/>
          <w:numId w:val="2"/>
        </w:numPr>
        <w:ind w:left="576" w:hanging="576"/>
        <w:rPr>
          <w:rFonts w:cs="Calibri"/>
          <w:lang w:val="sq-AL"/>
        </w:rPr>
      </w:pPr>
    </w:p>
    <w:p>
      <w:pPr>
        <w:pStyle w:val="Heading2"/>
        <w:numPr>
          <w:ilvl w:val="0"/>
          <w:numId w:val="2"/>
        </w:numPr>
        <w:ind w:left="576" w:hanging="576"/>
        <w:rPr>
          <w:rFonts w:cs="Calibri"/>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sectPr>
          <w:footerReference w:type="even" r:id="rId21"/>
          <w:footerReference w:type="default" r:id="rId22"/>
          <w:pgSz w:w="16840" w:h="11907" w:orient="landscape"/>
          <w:pgMar w:top="1138" w:right="1411" w:bottom="1138" w:left="1411" w:header="708" w:footer="708" w:gutter="0"/>
          <w:cols w:space="708"/>
          <w:docGrid w:linePitch="360"/>
        </w:sectPr>
      </w:pPr>
    </w:p>
    <w:p>
      <w:pPr>
        <w:rPr>
          <w:lang w:val="sq-AL"/>
        </w:rPr>
      </w:pPr>
      <w:r>
        <w:rPr>
          <w:lang w:val="sq-AL"/>
        </w:rPr>
        <w:t xml:space="preserve">Diatomet </w:t>
      </w:r>
    </w:p>
    <w:p>
      <w:pPr>
        <w:spacing w:after="120"/>
        <w:rPr>
          <w:rFonts w:ascii="Calibri" w:hAnsi="Calibri"/>
          <w:lang w:val="sq-AL"/>
        </w:rPr>
      </w:pPr>
      <w:r>
        <w:rPr>
          <w:rFonts w:ascii="Calibri" w:hAnsi="Calibri"/>
          <w:lang w:val="sq-AL"/>
        </w:rPr>
        <w:t xml:space="preserve">Vlerat më të larta për të gjithë indekset e diatomeve janë përftuar për stacionin e parë monitorues Drini i Bardhë - Radavc, ku shumica e pikëve (rezultateve) për të dy bashkësitë diatomike tregojnë status të lartë ose të mirë ekologjik. Indekset IPS, CEE, SHE, IBD, DI-C, EPI-D dhe SID tregojnë status të lartë, ndërsa sipas SLA, DESCY, GENRE, IDAP, TID, ky trup ujor duhet të klasifikohet me status të mirë. Gjithashtu të dy bashkësitë diatomike, epilitike dhe epifite tregojnë rezultate të ngjashme dhe tregojnë të njëjtin status ekologjik. </w:t>
      </w:r>
    </w:p>
    <w:p>
      <w:pPr>
        <w:jc w:val="center"/>
        <w:rPr>
          <w:lang w:val="sq-AL"/>
        </w:rPr>
      </w:pPr>
      <w:r>
        <w:rPr>
          <w:noProof/>
        </w:rPr>
        <w:drawing>
          <wp:inline distT="0" distB="0" distL="0" distR="0">
            <wp:extent cx="5757545" cy="3056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545" cy="3056255"/>
                    </a:xfrm>
                    <a:prstGeom prst="rect">
                      <a:avLst/>
                    </a:prstGeom>
                    <a:noFill/>
                    <a:ln>
                      <a:noFill/>
                    </a:ln>
                  </pic:spPr>
                </pic:pic>
              </a:graphicData>
            </a:graphic>
          </wp:inline>
        </w:drawing>
      </w:r>
    </w:p>
    <w:p>
      <w:pPr>
        <w:pStyle w:val="Caption"/>
        <w:rPr>
          <w:b/>
          <w:bCs/>
          <w:i w:val="0"/>
          <w:iCs w:val="0"/>
          <w:lang w:val="sq-AL"/>
        </w:rPr>
      </w:pPr>
      <w:bookmarkStart w:id="8" w:name="_Toc498427869"/>
      <w:bookmarkStart w:id="9" w:name="_Toc501646781"/>
      <w:r>
        <w:rPr>
          <w:b/>
          <w:bCs/>
          <w:i w:val="0"/>
          <w:iCs w:val="0"/>
          <w:lang w:val="sq-AL"/>
        </w:rPr>
        <w:t xml:space="preserve">Figura 35. </w:t>
      </w:r>
      <w:bookmarkEnd w:id="8"/>
      <w:bookmarkEnd w:id="9"/>
      <w:r>
        <w:rPr>
          <w:b/>
          <w:bCs/>
          <w:i w:val="0"/>
          <w:iCs w:val="0"/>
          <w:lang w:val="sq-AL"/>
        </w:rPr>
        <w:t>Vlerat e përftuara për indekset e diatomeve për stacionin e parë monitorues Drini i Bardhë - Radavc</w:t>
      </w:r>
    </w:p>
    <w:p>
      <w:pPr>
        <w:spacing w:after="120"/>
        <w:rPr>
          <w:rFonts w:ascii="Calibri" w:hAnsi="Calibri"/>
          <w:lang w:val="sq-AL"/>
        </w:rPr>
      </w:pPr>
      <w:r>
        <w:rPr>
          <w:rFonts w:ascii="Calibri" w:hAnsi="Calibri"/>
          <w:lang w:val="sq-AL"/>
        </w:rPr>
        <w:t xml:space="preserve">Vlera të përziera janë përftuar për stacionin e dytë monitorues Klinë, ku disa nga pikët (rezultatet) për indekset e diatomeve për epilitonin tregojnë vlera më të larta (si DESCY, WATANABE dhe IBD) që tregojnë status të mirë, ndërsa pjesa tjetër e indekseve tregojnë status të moderuar (Fig. 4). Megjithatë, vlerat e GENRE, DI-C, EPI-D, SID janë në kufirin e sipërm, afër statusit të mirë. Është evidente se ky trup ujor ka ndikim të lehtë antropogjenik duke ndikuar në përbërjen e diatomeve me ndryshime të lehta në bashkësi me praninë e specieve tolerante. Shumica e vlerave për bashkësitë e diatomeve epifite tregojnë status të moderuar ekologjik. </w:t>
      </w:r>
    </w:p>
    <w:p>
      <w:pPr>
        <w:spacing w:after="120"/>
        <w:rPr>
          <w:rFonts w:ascii="Calibri" w:hAnsi="Calibri"/>
          <w:lang w:val="sq-AL"/>
        </w:rPr>
      </w:pPr>
    </w:p>
    <w:p>
      <w:pPr>
        <w:rPr>
          <w:lang w:val="sq-AL"/>
        </w:rPr>
      </w:pPr>
    </w:p>
    <w:p>
      <w:pPr>
        <w:rPr>
          <w:lang w:val="sq-AL"/>
        </w:rPr>
      </w:pPr>
    </w:p>
    <w:p>
      <w:pPr>
        <w:jc w:val="center"/>
        <w:rPr>
          <w:lang w:val="sq-AL"/>
        </w:rPr>
      </w:pPr>
      <w:r>
        <w:rPr>
          <w:noProof/>
        </w:rPr>
        <w:drawing>
          <wp:inline distT="0" distB="0" distL="0" distR="0">
            <wp:extent cx="5757545" cy="3056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545" cy="3056255"/>
                    </a:xfrm>
                    <a:prstGeom prst="rect">
                      <a:avLst/>
                    </a:prstGeom>
                    <a:noFill/>
                    <a:ln>
                      <a:noFill/>
                    </a:ln>
                  </pic:spPr>
                </pic:pic>
              </a:graphicData>
            </a:graphic>
          </wp:inline>
        </w:drawing>
      </w:r>
    </w:p>
    <w:p>
      <w:pPr>
        <w:pStyle w:val="Caption"/>
        <w:rPr>
          <w:b/>
          <w:bCs/>
          <w:i w:val="0"/>
          <w:iCs w:val="0"/>
          <w:lang w:val="sq-AL"/>
        </w:rPr>
      </w:pPr>
      <w:bookmarkStart w:id="10" w:name="_Toc498427870"/>
      <w:bookmarkStart w:id="11" w:name="_Toc501646782"/>
      <w:r>
        <w:rPr>
          <w:b/>
          <w:bCs/>
          <w:i w:val="0"/>
          <w:iCs w:val="0"/>
          <w:lang w:val="sq-AL"/>
        </w:rPr>
        <w:t xml:space="preserve">Figura 36. </w:t>
      </w:r>
      <w:bookmarkEnd w:id="10"/>
      <w:bookmarkEnd w:id="11"/>
      <w:r>
        <w:rPr>
          <w:b/>
          <w:bCs/>
          <w:i w:val="0"/>
          <w:iCs w:val="0"/>
          <w:lang w:val="sq-AL"/>
        </w:rPr>
        <w:t>Vlerat e përftuara për indekset e diatomeve për stacionin e dytë monitorues Klinë</w:t>
      </w:r>
    </w:p>
    <w:p>
      <w:pPr>
        <w:spacing w:after="120"/>
        <w:rPr>
          <w:rFonts w:ascii="Calibri" w:hAnsi="Calibri"/>
          <w:lang w:val="sq-AL"/>
        </w:rPr>
      </w:pPr>
      <w:r>
        <w:rPr>
          <w:rFonts w:ascii="Calibri" w:hAnsi="Calibri"/>
          <w:lang w:val="sq-AL"/>
        </w:rPr>
        <w:t xml:space="preserve">Shumica e pikëve (rezultateve) për indekset e diatomeve për stacionin e tretë të monitorimit Toplluha – Piranë i përkasin statusit të dobët ose në kufirin e poshtëm të statusit të moderuar. Vlerat e përftuara për IPS, SLA, DESCY, IDAP, DI-C, EPI-D, IDP dhe TID tregojnë status të dobët, ndërsa për GENRE, WATANABE, IBD dhe SID tregojnë status të moderuar. Megjithatë, vlerat për katër indekset e fundit janë në kufirin e poshtëm (vlerat rreth 9). Gjithashtu ka një korrelacion të mirë midis vlerave të përftuara për bashkësitë epilitike dhe epifite. </w:t>
      </w:r>
    </w:p>
    <w:p>
      <w:pPr>
        <w:spacing w:after="120"/>
        <w:rPr>
          <w:rFonts w:ascii="Calibri" w:hAnsi="Calibri"/>
          <w:lang w:val="sq-AL"/>
        </w:rPr>
      </w:pPr>
    </w:p>
    <w:p>
      <w:pPr>
        <w:jc w:val="center"/>
        <w:rPr>
          <w:lang w:val="sq-AL"/>
        </w:rPr>
      </w:pPr>
      <w:r>
        <w:rPr>
          <w:noProof/>
        </w:rPr>
        <w:drawing>
          <wp:inline distT="0" distB="0" distL="0" distR="0">
            <wp:extent cx="5757545" cy="30562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3056255"/>
                    </a:xfrm>
                    <a:prstGeom prst="rect">
                      <a:avLst/>
                    </a:prstGeom>
                    <a:noFill/>
                    <a:ln>
                      <a:noFill/>
                    </a:ln>
                  </pic:spPr>
                </pic:pic>
              </a:graphicData>
            </a:graphic>
          </wp:inline>
        </w:drawing>
      </w:r>
    </w:p>
    <w:p>
      <w:pPr>
        <w:pStyle w:val="Caption"/>
        <w:jc w:val="center"/>
        <w:rPr>
          <w:b/>
          <w:bCs/>
          <w:i w:val="0"/>
          <w:iCs w:val="0"/>
          <w:lang w:val="sq-AL"/>
        </w:rPr>
      </w:pPr>
      <w:bookmarkStart w:id="12" w:name="_Toc498427871"/>
      <w:bookmarkStart w:id="13" w:name="_Toc501646783"/>
      <w:r>
        <w:rPr>
          <w:b/>
          <w:bCs/>
          <w:i w:val="0"/>
          <w:iCs w:val="0"/>
          <w:lang w:val="sq-AL"/>
        </w:rPr>
        <w:t>Figura 37.  Vlerat e përftuara për indekset e diatomeve për stacionin e tretë monitorues Toplluha – Piranë</w:t>
      </w:r>
      <w:bookmarkEnd w:id="12"/>
      <w:bookmarkEnd w:id="13"/>
    </w:p>
    <w:p>
      <w:pPr>
        <w:spacing w:after="120"/>
        <w:rPr>
          <w:rFonts w:ascii="Calibri" w:hAnsi="Calibri"/>
          <w:lang w:val="sq-AL"/>
        </w:rPr>
      </w:pPr>
      <w:r>
        <w:rPr>
          <w:rFonts w:ascii="Calibri" w:hAnsi="Calibri"/>
          <w:lang w:val="sq-AL"/>
        </w:rPr>
        <w:t xml:space="preserve">Për stacionin e katërt monitorues Lumbardhi i Prizrenit – Vlashnje, shumica e indekseve të diatomeve tregojnë status të moderuar (IPS, SLA, GENRE, CEE, WATANABE, DI-C, EPI-D, IDP, LOBO) me pak përjashtime si DESCY (status i lartë), IBD dhe LOBO (status i mirë) dhe TID (status i dobët). Në këtë rast, statusi i moderuar i trupit ujor do të jetë më i përshtatshmi. Është gjithashtu e rëndësishme të tregohet se indekset që tregojnë status të mirë për shembull SHE dhe SID, janë në kufirin e poshtëm të indeksit.  </w:t>
      </w:r>
    </w:p>
    <w:p>
      <w:pPr>
        <w:spacing w:after="120"/>
        <w:rPr>
          <w:rFonts w:ascii="Calibri" w:hAnsi="Calibri"/>
          <w:lang w:val="sq-AL"/>
        </w:rPr>
      </w:pPr>
    </w:p>
    <w:p>
      <w:pPr>
        <w:jc w:val="center"/>
        <w:rPr>
          <w:lang w:val="sq-AL"/>
        </w:rPr>
      </w:pPr>
      <w:r>
        <w:rPr>
          <w:noProof/>
        </w:rPr>
        <w:drawing>
          <wp:inline distT="0" distB="0" distL="0" distR="0">
            <wp:extent cx="5757545" cy="3056255"/>
            <wp:effectExtent l="0" t="0" r="0" b="0"/>
            <wp:docPr id="401431" name="Picture 40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7545" cy="3056255"/>
                    </a:xfrm>
                    <a:prstGeom prst="rect">
                      <a:avLst/>
                    </a:prstGeom>
                    <a:noFill/>
                    <a:ln>
                      <a:noFill/>
                    </a:ln>
                  </pic:spPr>
                </pic:pic>
              </a:graphicData>
            </a:graphic>
          </wp:inline>
        </w:drawing>
      </w:r>
    </w:p>
    <w:p>
      <w:pPr>
        <w:pStyle w:val="Caption"/>
        <w:jc w:val="center"/>
        <w:rPr>
          <w:rFonts w:ascii="Calibri" w:hAnsi="Calibri"/>
          <w:b/>
          <w:bCs/>
          <w:i w:val="0"/>
          <w:iCs w:val="0"/>
          <w:sz w:val="22"/>
          <w:szCs w:val="22"/>
          <w:lang w:val="sq-AL"/>
        </w:rPr>
      </w:pPr>
      <w:bookmarkStart w:id="14" w:name="_Toc501646784"/>
      <w:r>
        <w:rPr>
          <w:b/>
          <w:bCs/>
          <w:i w:val="0"/>
          <w:iCs w:val="0"/>
          <w:lang w:val="sq-AL"/>
        </w:rPr>
        <w:t>Figura 38. Vlerat e përftuara për indekset e diatomeve për stacionin e katërt monitorues Lumbardhi i Prizrenit - Vlashnje</w:t>
      </w:r>
      <w:bookmarkEnd w:id="14"/>
    </w:p>
    <w:p>
      <w:pPr>
        <w:spacing w:after="120"/>
        <w:rPr>
          <w:rFonts w:ascii="Calibri" w:hAnsi="Calibri"/>
          <w:lang w:val="sq-AL"/>
        </w:rPr>
      </w:pPr>
      <w:r>
        <w:rPr>
          <w:rFonts w:ascii="Calibri" w:hAnsi="Calibri"/>
          <w:lang w:val="sq-AL"/>
        </w:rPr>
        <w:t xml:space="preserve">Vlerat e përftuara për indekset e diatomeve për bashkësitë e diatomeve eplitike në stacionin e pestë të monitorimit Drini i Bardhë – Vërmicë tregojnë status të dobët ose të moderuar (në kufirin e poshtëm) ose, ndërsa rezultatet për bashkësitë e diatomeve epifitike tregojnë status të moderuar. Vlera e përftuar e indekseve IPS, CEE, SHE, IDAP, DI-C, EPI-D, IDP, SID dhe TID tregojnë status të dobët, ndërsa SLA, GENRE, WATANABE dhe IBD tregojnë status të moderuar. Gjithashtu në këtë lokacion të marrjes së mostrave ka një diferencë të lehtë në vlerat e përftuara midis bashkësive të diatomeve epilitike dhe epifite, ku bashkësitë epifite tregojnë vlera më të larta. Në këtë rast duhet kushtuar vëmendje e veçantë nëse bashkësitë tipike epilitike nuk janë të zhvilluara mirë. </w:t>
      </w:r>
    </w:p>
    <w:p>
      <w:pPr>
        <w:rPr>
          <w:lang w:val="sq-AL"/>
        </w:rPr>
      </w:pPr>
    </w:p>
    <w:p>
      <w:pPr>
        <w:jc w:val="center"/>
        <w:rPr>
          <w:lang w:val="sq-AL"/>
        </w:rPr>
      </w:pPr>
      <w:r>
        <w:rPr>
          <w:noProof/>
        </w:rPr>
        <w:drawing>
          <wp:inline distT="0" distB="0" distL="0" distR="0">
            <wp:extent cx="5757545" cy="3056255"/>
            <wp:effectExtent l="0" t="0" r="0" b="0"/>
            <wp:docPr id="401440" name="Picture 4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545" cy="3056255"/>
                    </a:xfrm>
                    <a:prstGeom prst="rect">
                      <a:avLst/>
                    </a:prstGeom>
                    <a:noFill/>
                    <a:ln>
                      <a:noFill/>
                    </a:ln>
                  </pic:spPr>
                </pic:pic>
              </a:graphicData>
            </a:graphic>
          </wp:inline>
        </w:drawing>
      </w:r>
    </w:p>
    <w:p>
      <w:pPr>
        <w:pStyle w:val="Caption"/>
        <w:jc w:val="center"/>
        <w:rPr>
          <w:rFonts w:ascii="Calibri" w:hAnsi="Calibri"/>
          <w:b/>
          <w:bCs/>
          <w:i w:val="0"/>
          <w:iCs w:val="0"/>
          <w:sz w:val="22"/>
          <w:szCs w:val="22"/>
          <w:lang w:val="sq-AL"/>
        </w:rPr>
      </w:pPr>
      <w:bookmarkStart w:id="15" w:name="_Toc498427873"/>
      <w:r>
        <w:rPr>
          <w:b/>
          <w:bCs/>
          <w:i w:val="0"/>
          <w:iCs w:val="0"/>
          <w:lang w:val="sq-AL"/>
        </w:rPr>
        <w:t>Figura 39. Vlerat e përftuara për indekset e diatomeve për stacionin e pestë monitorues Drini i Bardhë – Vërmicë</w:t>
      </w:r>
      <w:bookmarkEnd w:id="15"/>
    </w:p>
    <w:p>
      <w:pPr>
        <w:rPr>
          <w:rFonts w:ascii="Calibri" w:hAnsi="Calibri"/>
          <w:lang w:val="sq-AL"/>
        </w:rPr>
      </w:pPr>
      <w:r>
        <w:rPr>
          <w:rFonts w:ascii="Calibri" w:hAnsi="Calibri"/>
          <w:lang w:val="sq-AL"/>
        </w:rPr>
        <w:t xml:space="preserve">Sipas të 20 indekseve të analizuara të diatomeve dhe gjithashtu sipas bashkësive të diatomeve të vëzhguara në pesë trupat ujorë, dy nga zonat duhet të klasifikohen me status të dobët, dy me status të moderuar dhe një me status të lartë. Lumi Topluha dhe lumi Drini i Bardhë kanë përbërje të ngjashme diatomike me mbizotërim të specieve shumë tolerante si Mayamea atomus dhe Nitzschia palea. Lumi Lumbardhi i Prizrenit dominohet më së shumti nga speciet e gjinisë Navicula si N. gregaria, N. veneta dhe Navicula tripunctata që tregojnë ndotje të intensitetit mesatar nga ujërat e zeza komunale. Diversiteti më i madh i diatomeve është vërejtur në lumin Klina. Megjithatë, shumica e specieve janë kozmopolite dhe tolerante deri në nivele të moderuara të eutrofikimit (ujëra mezo deri në pak eutrofike). Përbërja e tillë e diatomeve tregon çrregullim mesatar, kryesisht nga ujërat e zeza komunale nga vendbanimet më të vogla. Status i lartë është përftuar vetëm për rajonin e burimit të Drinit të Bardhë. Megjithatë, mund të vërehen aktivitete të lehta njerëzore në shtratin e lumit dhe gjithashtu disa mbetje të ngurta komunale. Në afat të gjatë, aktivitete të tilla mund të ulin statusin ekologjik të trupit ujor dhe për këtë arsye duhet të ndërmerren masa parandaluese. </w:t>
      </w:r>
    </w:p>
    <w:p>
      <w:pPr>
        <w:rPr>
          <w:rFonts w:ascii="Calibri" w:hAnsi="Calibri"/>
          <w:lang w:val="sq-AL"/>
        </w:rPr>
      </w:pPr>
    </w:p>
    <w:p>
      <w:pPr>
        <w:rPr>
          <w:b/>
          <w:bCs/>
          <w:lang w:val="sq-AL"/>
        </w:rPr>
      </w:pPr>
      <w:r>
        <w:rPr>
          <w:lang w:val="sq-AL"/>
        </w:rPr>
        <w:t>Për analizën e mëvonshme të parametrave cilësorë fiziko-kimikë u përdorën metoda të standardizuara fiziko-kimike.</w:t>
      </w: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sectPr>
          <w:pgSz w:w="11907" w:h="16840"/>
          <w:pgMar w:top="1411" w:right="1138" w:bottom="1411" w:left="1138" w:header="708" w:footer="708" w:gutter="0"/>
          <w:cols w:space="708"/>
          <w:docGrid w:linePitch="360"/>
        </w:sectPr>
      </w:pPr>
    </w:p>
    <w:p>
      <w:pPr>
        <w:rPr>
          <w:b/>
          <w:bCs/>
          <w:lang w:val="sq-AL"/>
        </w:rPr>
      </w:pPr>
    </w:p>
    <w:p>
      <w:pPr>
        <w:rPr>
          <w:b/>
          <w:bCs/>
          <w:sz w:val="36"/>
          <w:szCs w:val="36"/>
          <w:lang w:val="sq-AL"/>
        </w:rPr>
      </w:pPr>
      <w:bookmarkStart w:id="16" w:name="_Hlk112136897"/>
      <w:r>
        <w:rPr>
          <w:b/>
          <w:bCs/>
          <w:sz w:val="36"/>
          <w:szCs w:val="36"/>
          <w:lang w:val="sq-AL"/>
        </w:rPr>
        <w:t xml:space="preserve">SHTOJCA 13D. Përbërja e makrofiteve gjatë fushatës kërkimore në terren të vitit 2018. </w:t>
      </w:r>
    </w:p>
    <w:bookmarkEnd w:id="16"/>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p>
    <w:p>
      <w:pPr>
        <w:rPr>
          <w:b/>
          <w:bCs/>
          <w:lang w:val="sq-AL"/>
        </w:rPr>
      </w:pPr>
      <w:r>
        <w:rPr>
          <w:b/>
          <w:bCs/>
          <w:lang w:val="sq-AL"/>
        </w:rPr>
        <w:t xml:space="preserve">Makrofitet </w:t>
      </w:r>
    </w:p>
    <w:p>
      <w:pPr>
        <w:rPr>
          <w:lang w:val="sq-AL"/>
        </w:rPr>
      </w:pPr>
      <w:r>
        <w:rPr>
          <w:lang w:val="sq-AL"/>
        </w:rPr>
        <w:t xml:space="preserve">Gjatë vizitave të pranverës së vitit 2018 në lokacione, janë identifikuar disa makrofite si Cladophora, Rorippa, Equisetum, Ranunculus dhe shumë myshqe. U rekomandua që në fund të verës do të ishte i nevojshëm organizimi i një marrje tjetër të mostrave.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871"/>
        <w:gridCol w:w="568"/>
        <w:gridCol w:w="568"/>
        <w:gridCol w:w="568"/>
        <w:gridCol w:w="568"/>
        <w:gridCol w:w="568"/>
        <w:gridCol w:w="568"/>
        <w:gridCol w:w="568"/>
        <w:gridCol w:w="568"/>
        <w:gridCol w:w="568"/>
        <w:gridCol w:w="689"/>
        <w:gridCol w:w="1210"/>
      </w:tblGrid>
      <w:tr>
        <w:trPr>
          <w:trHeight w:val="107"/>
          <w:tblHeader/>
        </w:trPr>
        <w:tc>
          <w:tcPr>
            <w:tcW w:w="516" w:type="dxa"/>
            <w:shd w:val="clear" w:color="auto" w:fill="4472C4" w:themeFill="accent1"/>
            <w:hideMark/>
          </w:tcPr>
          <w:p>
            <w:pPr>
              <w:rPr>
                <w:b/>
                <w:bCs/>
                <w:color w:val="FFFFFF" w:themeColor="background1"/>
                <w:lang w:val="sq-AL"/>
              </w:rPr>
            </w:pPr>
            <w:r>
              <w:rPr>
                <w:b/>
                <w:bCs/>
                <w:color w:val="FFFFFF" w:themeColor="background1"/>
                <w:lang w:val="sq-AL"/>
              </w:rPr>
              <w:t>Nr.</w:t>
            </w:r>
          </w:p>
        </w:tc>
        <w:tc>
          <w:tcPr>
            <w:tcW w:w="1871" w:type="dxa"/>
            <w:shd w:val="clear" w:color="auto" w:fill="4472C4" w:themeFill="accent1"/>
            <w:hideMark/>
          </w:tcPr>
          <w:p>
            <w:pPr>
              <w:rPr>
                <w:b/>
                <w:bCs/>
                <w:color w:val="FFFFFF" w:themeColor="background1"/>
                <w:lang w:val="sq-AL"/>
              </w:rPr>
            </w:pPr>
            <w:r>
              <w:rPr>
                <w:b/>
                <w:bCs/>
                <w:color w:val="FFFFFF" w:themeColor="background1"/>
                <w:lang w:val="sq-AL"/>
              </w:rPr>
              <w:t>Speciet</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L.1.</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L.2.</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L.3.</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L.4.</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L.5.</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L.6.</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L.7.</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L.8.</w:t>
            </w:r>
          </w:p>
        </w:tc>
        <w:tc>
          <w:tcPr>
            <w:tcW w:w="555" w:type="dxa"/>
            <w:shd w:val="clear" w:color="auto" w:fill="4472C4" w:themeFill="accent1"/>
            <w:vAlign w:val="center"/>
            <w:hideMark/>
          </w:tcPr>
          <w:p>
            <w:pPr>
              <w:rPr>
                <w:b/>
                <w:bCs/>
                <w:color w:val="FFFFFF" w:themeColor="background1"/>
                <w:lang w:val="sq-AL"/>
              </w:rPr>
            </w:pPr>
            <w:r>
              <w:rPr>
                <w:b/>
                <w:bCs/>
                <w:color w:val="FFFFFF" w:themeColor="background1"/>
                <w:lang w:val="sq-AL"/>
              </w:rPr>
              <w:t>L.9.</w:t>
            </w:r>
          </w:p>
        </w:tc>
        <w:tc>
          <w:tcPr>
            <w:tcW w:w="637" w:type="dxa"/>
            <w:shd w:val="clear" w:color="auto" w:fill="4472C4" w:themeFill="accent1"/>
            <w:vAlign w:val="center"/>
            <w:hideMark/>
          </w:tcPr>
          <w:p>
            <w:pPr>
              <w:rPr>
                <w:b/>
                <w:bCs/>
                <w:color w:val="FFFFFF" w:themeColor="background1"/>
                <w:lang w:val="sq-AL"/>
              </w:rPr>
            </w:pPr>
            <w:r>
              <w:rPr>
                <w:b/>
                <w:bCs/>
                <w:color w:val="FFFFFF" w:themeColor="background1"/>
                <w:lang w:val="sq-AL"/>
              </w:rPr>
              <w:t>L.10.</w:t>
            </w:r>
          </w:p>
        </w:tc>
        <w:tc>
          <w:tcPr>
            <w:tcW w:w="1043" w:type="dxa"/>
            <w:shd w:val="clear" w:color="auto" w:fill="4472C4" w:themeFill="accent1"/>
            <w:hideMark/>
          </w:tcPr>
          <w:p>
            <w:pPr>
              <w:rPr>
                <w:b/>
                <w:bCs/>
                <w:color w:val="FFFFFF" w:themeColor="background1"/>
                <w:lang w:val="sq-AL"/>
              </w:rPr>
            </w:pPr>
            <w:r>
              <w:rPr>
                <w:b/>
                <w:bCs/>
                <w:color w:val="FFFFFF" w:themeColor="background1"/>
                <w:lang w:val="sq-AL"/>
              </w:rPr>
              <w:t>Shënime</w:t>
            </w:r>
          </w:p>
        </w:tc>
      </w:tr>
      <w:tr>
        <w:tc>
          <w:tcPr>
            <w:tcW w:w="516" w:type="dxa"/>
            <w:vAlign w:val="center"/>
          </w:tcPr>
          <w:p>
            <w:pPr>
              <w:rPr>
                <w:lang w:val="sq-AL"/>
              </w:rPr>
            </w:pPr>
          </w:p>
        </w:tc>
        <w:tc>
          <w:tcPr>
            <w:tcW w:w="1871" w:type="dxa"/>
            <w:hideMark/>
          </w:tcPr>
          <w:p>
            <w:pPr>
              <w:rPr>
                <w:lang w:val="sq-AL"/>
              </w:rPr>
            </w:pPr>
            <w:r>
              <w:rPr>
                <w:lang w:val="sq-AL"/>
              </w:rPr>
              <w:t xml:space="preserve">Amblystegium fluviatile       </w:t>
            </w:r>
          </w:p>
        </w:tc>
        <w:tc>
          <w:tcPr>
            <w:tcW w:w="555" w:type="dxa"/>
            <w:hideMark/>
          </w:tcPr>
          <w:p>
            <w:pPr>
              <w:rPr>
                <w:lang w:val="sq-AL"/>
              </w:rPr>
            </w:pPr>
            <w:r>
              <w:rPr>
                <w:lang w:val="sq-AL"/>
              </w:rPr>
              <w:t>4</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637" w:type="dxa"/>
            <w:hideMark/>
          </w:tcPr>
          <w:p>
            <w:pPr>
              <w:rPr>
                <w:lang w:val="sq-AL"/>
              </w:rPr>
            </w:pPr>
            <w:r>
              <w:rPr>
                <w:lang w:val="sq-AL"/>
              </w:rPr>
              <w:t>1</w:t>
            </w:r>
          </w:p>
        </w:tc>
        <w:tc>
          <w:tcPr>
            <w:tcW w:w="1043" w:type="dxa"/>
            <w:hideMark/>
          </w:tcPr>
          <w:p>
            <w:pPr>
              <w:rPr>
                <w:lang w:val="sq-AL"/>
              </w:rPr>
            </w:pPr>
            <w:r>
              <w:rPr>
                <w:noProof/>
              </w:rPr>
              <w:drawing>
                <wp:anchor distT="0" distB="0" distL="114300" distR="114300" simplePos="0" relativeHeight="251671552" behindDoc="0" locked="0" layoutInCell="1" allowOverlap="1">
                  <wp:simplePos x="0" y="0"/>
                  <wp:positionH relativeFrom="column">
                    <wp:posOffset>-80814</wp:posOffset>
                  </wp:positionH>
                  <wp:positionV relativeFrom="paragraph">
                    <wp:posOffset>9595</wp:posOffset>
                  </wp:positionV>
                  <wp:extent cx="171450" cy="180975"/>
                  <wp:effectExtent l="0" t="0" r="0" b="0"/>
                  <wp:wrapNone/>
                  <wp:docPr id="16460" name="Picture 510"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0"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q-AL"/>
              </w:rPr>
              <w:t xml:space="preserve">     Specie e myshqeve </w:t>
            </w:r>
          </w:p>
        </w:tc>
      </w:tr>
      <w:tr>
        <w:tc>
          <w:tcPr>
            <w:tcW w:w="516" w:type="dxa"/>
            <w:vAlign w:val="center"/>
          </w:tcPr>
          <w:p>
            <w:pPr>
              <w:rPr>
                <w:lang w:val="sq-AL"/>
              </w:rPr>
            </w:pPr>
          </w:p>
        </w:tc>
        <w:tc>
          <w:tcPr>
            <w:tcW w:w="1871" w:type="dxa"/>
            <w:hideMark/>
          </w:tcPr>
          <w:p>
            <w:pPr>
              <w:rPr>
                <w:lang w:val="sq-AL"/>
              </w:rPr>
            </w:pPr>
            <w:r>
              <w:rPr>
                <w:lang w:val="sq-AL"/>
              </w:rPr>
              <w:t xml:space="preserve">Geranium lucidum              </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Ramonda serbicae</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p>
        </w:tc>
      </w:tr>
      <w:tr>
        <w:tc>
          <w:tcPr>
            <w:tcW w:w="516" w:type="dxa"/>
            <w:vAlign w:val="center"/>
          </w:tcPr>
          <w:p>
            <w:pPr>
              <w:rPr>
                <w:lang w:val="sq-AL"/>
              </w:rPr>
            </w:pPr>
          </w:p>
        </w:tc>
        <w:tc>
          <w:tcPr>
            <w:tcW w:w="1871" w:type="dxa"/>
            <w:hideMark/>
          </w:tcPr>
          <w:p>
            <w:pPr>
              <w:rPr>
                <w:lang w:val="sq-AL"/>
              </w:rPr>
            </w:pPr>
            <w:r>
              <w:rPr>
                <w:lang w:val="sq-AL"/>
              </w:rPr>
              <w:t>Hordeum murinum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Setaria verticillata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Carex riparia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Eupatorium purpureum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Carex punctata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Clematis vitalba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Lapsana communis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66432" behindDoc="0" locked="0" layoutInCell="1" allowOverlap="1">
                  <wp:simplePos x="0" y="0"/>
                  <wp:positionH relativeFrom="column">
                    <wp:posOffset>-30480</wp:posOffset>
                  </wp:positionH>
                  <wp:positionV relativeFrom="paragraph">
                    <wp:posOffset>40005</wp:posOffset>
                  </wp:positionV>
                  <wp:extent cx="171450" cy="180975"/>
                  <wp:effectExtent l="0" t="0" r="0" b="0"/>
                  <wp:wrapNone/>
                  <wp:docPr id="16459" name="Picture 509"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Lolium perenne</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Avena fatua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Erigeron annuus</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Poa trivialis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Equisetum fluviatilus</w:t>
            </w:r>
          </w:p>
        </w:tc>
        <w:tc>
          <w:tcPr>
            <w:tcW w:w="555" w:type="dxa"/>
            <w:hideMark/>
          </w:tcPr>
          <w:p>
            <w:pPr>
              <w:rPr>
                <w:lang w:val="sq-AL"/>
              </w:rPr>
            </w:pPr>
            <w:r>
              <w:rPr>
                <w:lang w:val="sq-AL"/>
              </w:rPr>
              <w:t>.</w:t>
            </w:r>
          </w:p>
        </w:tc>
        <w:tc>
          <w:tcPr>
            <w:tcW w:w="555" w:type="dxa"/>
            <w:hideMark/>
          </w:tcPr>
          <w:p>
            <w:pPr>
              <w:rPr>
                <w:lang w:val="sq-AL"/>
              </w:rPr>
            </w:pPr>
            <w:r>
              <w:rPr>
                <w:lang w:val="sq-AL"/>
              </w:rPr>
              <w:t>4</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2</w:t>
            </w:r>
          </w:p>
        </w:tc>
        <w:tc>
          <w:tcPr>
            <w:tcW w:w="555" w:type="dxa"/>
            <w:hideMark/>
          </w:tcPr>
          <w:p>
            <w:pPr>
              <w:rPr>
                <w:lang w:val="sq-AL"/>
              </w:rPr>
            </w:pPr>
            <w:r>
              <w:rPr>
                <w:lang w:val="sq-AL"/>
              </w:rPr>
              <w:t>2</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0528" behindDoc="0" locked="0" layoutInCell="1" allowOverlap="1">
                  <wp:simplePos x="0" y="0"/>
                  <wp:positionH relativeFrom="column">
                    <wp:posOffset>-30480</wp:posOffset>
                  </wp:positionH>
                  <wp:positionV relativeFrom="paragraph">
                    <wp:posOffset>42545</wp:posOffset>
                  </wp:positionV>
                  <wp:extent cx="171450" cy="180975"/>
                  <wp:effectExtent l="0" t="0" r="0" b="0"/>
                  <wp:wrapNone/>
                  <wp:docPr id="16458" name="Picture 508"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8"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Lythrum salicaria</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2576" behindDoc="0" locked="0" layoutInCell="1" allowOverlap="1">
                  <wp:simplePos x="0" y="0"/>
                  <wp:positionH relativeFrom="column">
                    <wp:posOffset>-30480</wp:posOffset>
                  </wp:positionH>
                  <wp:positionV relativeFrom="paragraph">
                    <wp:posOffset>46990</wp:posOffset>
                  </wp:positionV>
                  <wp:extent cx="171450" cy="180975"/>
                  <wp:effectExtent l="0" t="0" r="0" b="0"/>
                  <wp:wrapNone/>
                  <wp:docPr id="16457" name="Picture 507"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Mentha aquatica</w:t>
            </w:r>
          </w:p>
        </w:tc>
        <w:tc>
          <w:tcPr>
            <w:tcW w:w="555" w:type="dxa"/>
            <w:hideMark/>
          </w:tcPr>
          <w:p>
            <w:pPr>
              <w:rPr>
                <w:lang w:val="sq-AL"/>
              </w:rPr>
            </w:pPr>
            <w:r>
              <w:rPr>
                <w:lang w:val="sq-AL"/>
              </w:rPr>
              <w:t>.</w:t>
            </w:r>
          </w:p>
        </w:tc>
        <w:tc>
          <w:tcPr>
            <w:tcW w:w="555" w:type="dxa"/>
            <w:hideMark/>
          </w:tcPr>
          <w:p>
            <w:pPr>
              <w:rPr>
                <w:lang w:val="sq-AL"/>
              </w:rPr>
            </w:pPr>
            <w:r>
              <w:rPr>
                <w:lang w:val="sq-AL"/>
              </w:rPr>
              <w:t>3</w:t>
            </w:r>
          </w:p>
        </w:tc>
        <w:tc>
          <w:tcPr>
            <w:tcW w:w="555" w:type="dxa"/>
            <w:hideMark/>
          </w:tcPr>
          <w:p>
            <w:pPr>
              <w:rPr>
                <w:lang w:val="sq-AL"/>
              </w:rPr>
            </w:pPr>
            <w:r>
              <w:rPr>
                <w:lang w:val="sq-AL"/>
              </w:rPr>
              <w:t>4</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3</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Ranunculus trichophyllus</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3600" behindDoc="0" locked="0" layoutInCell="1" allowOverlap="1">
                  <wp:simplePos x="0" y="0"/>
                  <wp:positionH relativeFrom="column">
                    <wp:posOffset>-30480</wp:posOffset>
                  </wp:positionH>
                  <wp:positionV relativeFrom="paragraph">
                    <wp:posOffset>43180</wp:posOffset>
                  </wp:positionV>
                  <wp:extent cx="171450" cy="180975"/>
                  <wp:effectExtent l="0" t="0" r="0" b="0"/>
                  <wp:wrapNone/>
                  <wp:docPr id="16456" name="Picture 506"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Rorippa amphibia</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Polygonum hydropiper</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69504" behindDoc="0" locked="0" layoutInCell="1" allowOverlap="1">
                  <wp:simplePos x="0" y="0"/>
                  <wp:positionH relativeFrom="column">
                    <wp:posOffset>-30480</wp:posOffset>
                  </wp:positionH>
                  <wp:positionV relativeFrom="paragraph">
                    <wp:posOffset>40005</wp:posOffset>
                  </wp:positionV>
                  <wp:extent cx="171450" cy="180975"/>
                  <wp:effectExtent l="0" t="0" r="0" b="0"/>
                  <wp:wrapNone/>
                  <wp:docPr id="16455" name="Picture 505"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5"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Sparganium erectum</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68480" behindDoc="0" locked="0" layoutInCell="1" allowOverlap="1">
                  <wp:simplePos x="0" y="0"/>
                  <wp:positionH relativeFrom="column">
                    <wp:posOffset>-30480</wp:posOffset>
                  </wp:positionH>
                  <wp:positionV relativeFrom="paragraph">
                    <wp:posOffset>46355</wp:posOffset>
                  </wp:positionV>
                  <wp:extent cx="171450" cy="180975"/>
                  <wp:effectExtent l="0" t="0" r="0" b="0"/>
                  <wp:wrapNone/>
                  <wp:docPr id="16454" name="Picture 504"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Lytrhum virgatum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67456" behindDoc="0" locked="0" layoutInCell="1" allowOverlap="1">
                  <wp:simplePos x="0" y="0"/>
                  <wp:positionH relativeFrom="column">
                    <wp:posOffset>-30480</wp:posOffset>
                  </wp:positionH>
                  <wp:positionV relativeFrom="paragraph">
                    <wp:posOffset>53340</wp:posOffset>
                  </wp:positionV>
                  <wp:extent cx="171450" cy="180975"/>
                  <wp:effectExtent l="0" t="0" r="0" b="0"/>
                  <wp:wrapNone/>
                  <wp:docPr id="16453" name="Picture 503"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3"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Nitella flexilis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Azolla filiculoides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Agrostis stolonifera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Lysimachia nummularia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Salix alba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3</w:t>
            </w:r>
          </w:p>
        </w:tc>
        <w:tc>
          <w:tcPr>
            <w:tcW w:w="555" w:type="dxa"/>
            <w:hideMark/>
          </w:tcPr>
          <w:p>
            <w:pPr>
              <w:rPr>
                <w:lang w:val="sq-AL"/>
              </w:rPr>
            </w:pPr>
            <w:r>
              <w:rPr>
                <w:lang w:val="sq-AL"/>
              </w:rPr>
              <w:t>2</w:t>
            </w:r>
          </w:p>
        </w:tc>
        <w:tc>
          <w:tcPr>
            <w:tcW w:w="555" w:type="dxa"/>
            <w:hideMark/>
          </w:tcPr>
          <w:p>
            <w:pPr>
              <w:rPr>
                <w:lang w:val="sq-AL"/>
              </w:rPr>
            </w:pPr>
            <w:r>
              <w:rPr>
                <w:lang w:val="sq-AL"/>
              </w:rPr>
              <w:t>3</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Brassica nigra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Hypericum tetrapterum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Carpinus betulus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Euphorbia palustris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Inula britannica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Scrophularia nodosa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Juncus effusus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Cladophora sp.</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4</w:t>
            </w:r>
          </w:p>
        </w:tc>
        <w:tc>
          <w:tcPr>
            <w:tcW w:w="555" w:type="dxa"/>
            <w:hideMark/>
          </w:tcPr>
          <w:p>
            <w:pPr>
              <w:rPr>
                <w:lang w:val="sq-AL"/>
              </w:rPr>
            </w:pPr>
            <w:r>
              <w:rPr>
                <w:lang w:val="sq-AL"/>
              </w:rPr>
              <w:t>4</w:t>
            </w:r>
          </w:p>
        </w:tc>
        <w:tc>
          <w:tcPr>
            <w:tcW w:w="555" w:type="dxa"/>
            <w:hideMark/>
          </w:tcPr>
          <w:p>
            <w:pPr>
              <w:rPr>
                <w:lang w:val="sq-AL"/>
              </w:rPr>
            </w:pPr>
            <w:r>
              <w:rPr>
                <w:lang w:val="sq-AL"/>
              </w:rPr>
              <w:t>4</w:t>
            </w:r>
          </w:p>
        </w:tc>
        <w:tc>
          <w:tcPr>
            <w:tcW w:w="555" w:type="dxa"/>
            <w:hideMark/>
          </w:tcPr>
          <w:p>
            <w:pPr>
              <w:rPr>
                <w:lang w:val="sq-AL"/>
              </w:rPr>
            </w:pPr>
            <w:r>
              <w:rPr>
                <w:lang w:val="sq-AL"/>
              </w:rPr>
              <w:t>5</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6672" behindDoc="0" locked="0" layoutInCell="1" allowOverlap="1">
                  <wp:simplePos x="0" y="0"/>
                  <wp:positionH relativeFrom="column">
                    <wp:posOffset>-30480</wp:posOffset>
                  </wp:positionH>
                  <wp:positionV relativeFrom="paragraph">
                    <wp:posOffset>21590</wp:posOffset>
                  </wp:positionV>
                  <wp:extent cx="171450" cy="180975"/>
                  <wp:effectExtent l="0" t="0" r="0" b="0"/>
                  <wp:wrapNone/>
                  <wp:docPr id="16452" name="Picture 502"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q-AL"/>
              </w:rPr>
              <w:t xml:space="preserve">     Alga </w:t>
            </w:r>
          </w:p>
        </w:tc>
      </w:tr>
      <w:tr>
        <w:tc>
          <w:tcPr>
            <w:tcW w:w="516" w:type="dxa"/>
            <w:vAlign w:val="center"/>
          </w:tcPr>
          <w:p>
            <w:pPr>
              <w:rPr>
                <w:lang w:val="sq-AL"/>
              </w:rPr>
            </w:pPr>
          </w:p>
        </w:tc>
        <w:tc>
          <w:tcPr>
            <w:tcW w:w="1871" w:type="dxa"/>
            <w:hideMark/>
          </w:tcPr>
          <w:p>
            <w:pPr>
              <w:rPr>
                <w:lang w:val="sq-AL"/>
              </w:rPr>
            </w:pPr>
            <w:r>
              <w:rPr>
                <w:lang w:val="sq-AL"/>
              </w:rPr>
              <w:t>Calamagrostis arundinacea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637" w:type="dxa"/>
            <w:hideMark/>
          </w:tcPr>
          <w:p>
            <w:pPr>
              <w:rPr>
                <w:lang w:val="sq-AL"/>
              </w:rPr>
            </w:pPr>
            <w:r>
              <w:rPr>
                <w:lang w:val="sq-AL"/>
              </w:rPr>
              <w:t>+</w:t>
            </w:r>
          </w:p>
        </w:tc>
        <w:tc>
          <w:tcPr>
            <w:tcW w:w="1043" w:type="dxa"/>
          </w:tcPr>
          <w:p>
            <w:pPr>
              <w:rPr>
                <w:lang w:val="sq-AL"/>
              </w:rPr>
            </w:pPr>
          </w:p>
        </w:tc>
      </w:tr>
      <w:tr>
        <w:trPr>
          <w:trHeight w:val="378"/>
        </w:trPr>
        <w:tc>
          <w:tcPr>
            <w:tcW w:w="516" w:type="dxa"/>
            <w:vAlign w:val="center"/>
          </w:tcPr>
          <w:p>
            <w:pPr>
              <w:rPr>
                <w:lang w:val="sq-AL"/>
              </w:rPr>
            </w:pPr>
          </w:p>
        </w:tc>
        <w:tc>
          <w:tcPr>
            <w:tcW w:w="1871" w:type="dxa"/>
            <w:hideMark/>
          </w:tcPr>
          <w:p>
            <w:pPr>
              <w:rPr>
                <w:lang w:val="sq-AL"/>
              </w:rPr>
            </w:pPr>
            <w:r>
              <w:rPr>
                <w:lang w:val="sq-AL"/>
              </w:rPr>
              <w:t>Parnassia palustris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4624" behindDoc="0" locked="0" layoutInCell="1" allowOverlap="1">
                  <wp:simplePos x="0" y="0"/>
                  <wp:positionH relativeFrom="column">
                    <wp:posOffset>-30480</wp:posOffset>
                  </wp:positionH>
                  <wp:positionV relativeFrom="paragraph">
                    <wp:posOffset>29210</wp:posOffset>
                  </wp:positionV>
                  <wp:extent cx="171450" cy="180975"/>
                  <wp:effectExtent l="0" t="0" r="0" b="0"/>
                  <wp:wrapNone/>
                  <wp:docPr id="16451" name="Picture 501"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Gentiana asclepiadea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Oenanthe aquatica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Potamogeton perfoliatus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Persicaria maculosa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Limosella aquatica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rPr>
          <w:trHeight w:val="491"/>
        </w:trPr>
        <w:tc>
          <w:tcPr>
            <w:tcW w:w="516" w:type="dxa"/>
            <w:vAlign w:val="center"/>
          </w:tcPr>
          <w:p>
            <w:pPr>
              <w:rPr>
                <w:lang w:val="sq-AL"/>
              </w:rPr>
            </w:pPr>
          </w:p>
        </w:tc>
        <w:tc>
          <w:tcPr>
            <w:tcW w:w="1871" w:type="dxa"/>
            <w:hideMark/>
          </w:tcPr>
          <w:p>
            <w:pPr>
              <w:rPr>
                <w:lang w:val="sq-AL"/>
              </w:rPr>
            </w:pPr>
            <w:r>
              <w:rPr>
                <w:lang w:val="sq-AL"/>
              </w:rPr>
              <w:t>Epilobium hirsutum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2</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7696" behindDoc="0" locked="0" layoutInCell="1" allowOverlap="1">
                  <wp:simplePos x="0" y="0"/>
                  <wp:positionH relativeFrom="column">
                    <wp:posOffset>-30480</wp:posOffset>
                  </wp:positionH>
                  <wp:positionV relativeFrom="paragraph">
                    <wp:posOffset>58420</wp:posOffset>
                  </wp:positionV>
                  <wp:extent cx="171450" cy="180975"/>
                  <wp:effectExtent l="0" t="0" r="0" b="0"/>
                  <wp:wrapNone/>
                  <wp:docPr id="16450" name="Picture 500"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Najas marina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Potamogeton crispus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hideMark/>
          </w:tcPr>
          <w:p>
            <w:pPr>
              <w:rPr>
                <w:lang w:val="sq-AL"/>
              </w:rPr>
            </w:pPr>
            <w:r>
              <w:rPr>
                <w:noProof/>
              </w:rPr>
              <w:drawing>
                <wp:anchor distT="0" distB="0" distL="114300" distR="114300" simplePos="0" relativeHeight="251678720" behindDoc="0" locked="0" layoutInCell="1" allowOverlap="1">
                  <wp:simplePos x="0" y="0"/>
                  <wp:positionH relativeFrom="column">
                    <wp:posOffset>-30480</wp:posOffset>
                  </wp:positionH>
                  <wp:positionV relativeFrom="paragraph">
                    <wp:posOffset>26035</wp:posOffset>
                  </wp:positionV>
                  <wp:extent cx="171450" cy="180975"/>
                  <wp:effectExtent l="0" t="0" r="0" b="0"/>
                  <wp:wrapNone/>
                  <wp:docPr id="16449" name="Picture 499"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Veronica anagallis-aquatica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Potamogeton pectinatus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Schoenoplectus lacustris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Lycopus europaeus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1</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Fagus sylvatica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3</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2</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Geranium robertianum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Nasturtium officinale</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3</w:t>
            </w:r>
          </w:p>
        </w:tc>
        <w:tc>
          <w:tcPr>
            <w:tcW w:w="1043" w:type="dxa"/>
            <w:hideMark/>
          </w:tcPr>
          <w:p>
            <w:pPr>
              <w:rPr>
                <w:lang w:val="sq-AL"/>
              </w:rPr>
            </w:pPr>
            <w:r>
              <w:rPr>
                <w:noProof/>
              </w:rPr>
              <w:drawing>
                <wp:anchor distT="0" distB="0" distL="114300" distR="114300" simplePos="0" relativeHeight="251679744" behindDoc="0" locked="0" layoutInCell="1" allowOverlap="1">
                  <wp:simplePos x="0" y="0"/>
                  <wp:positionH relativeFrom="column">
                    <wp:posOffset>-30480</wp:posOffset>
                  </wp:positionH>
                  <wp:positionV relativeFrom="paragraph">
                    <wp:posOffset>-1905</wp:posOffset>
                  </wp:positionV>
                  <wp:extent cx="171450" cy="180975"/>
                  <wp:effectExtent l="0" t="0" r="0" b="0"/>
                  <wp:wrapNone/>
                  <wp:docPr id="16448" name="Picture 498"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Berula erecta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rPr>
          <w:trHeight w:val="338"/>
        </w:trPr>
        <w:tc>
          <w:tcPr>
            <w:tcW w:w="516" w:type="dxa"/>
            <w:vAlign w:val="center"/>
          </w:tcPr>
          <w:p>
            <w:pPr>
              <w:rPr>
                <w:lang w:val="sq-AL"/>
              </w:rPr>
            </w:pPr>
          </w:p>
        </w:tc>
        <w:tc>
          <w:tcPr>
            <w:tcW w:w="1871" w:type="dxa"/>
            <w:hideMark/>
          </w:tcPr>
          <w:p>
            <w:pPr>
              <w:rPr>
                <w:lang w:val="sq-AL"/>
              </w:rPr>
            </w:pPr>
            <w:r>
              <w:rPr>
                <w:lang w:val="sq-AL"/>
              </w:rPr>
              <w:t>Callitriche palustris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2</w:t>
            </w:r>
          </w:p>
        </w:tc>
        <w:tc>
          <w:tcPr>
            <w:tcW w:w="1043" w:type="dxa"/>
            <w:hideMark/>
          </w:tcPr>
          <w:p>
            <w:pPr>
              <w:rPr>
                <w:lang w:val="sq-AL"/>
              </w:rPr>
            </w:pPr>
            <w:r>
              <w:rPr>
                <w:noProof/>
              </w:rPr>
              <w:drawing>
                <wp:anchor distT="0" distB="0" distL="114300" distR="114300" simplePos="0" relativeHeight="251675648" behindDoc="0" locked="0" layoutInCell="1" allowOverlap="1">
                  <wp:simplePos x="0" y="0"/>
                  <wp:positionH relativeFrom="column">
                    <wp:posOffset>-26247</wp:posOffset>
                  </wp:positionH>
                  <wp:positionV relativeFrom="paragraph">
                    <wp:posOffset>16510</wp:posOffset>
                  </wp:positionV>
                  <wp:extent cx="171450" cy="180975"/>
                  <wp:effectExtent l="0" t="0" r="6350" b="0"/>
                  <wp:wrapNone/>
                  <wp:docPr id="127" name="Picture 497"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7"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16" w:type="dxa"/>
            <w:vAlign w:val="center"/>
          </w:tcPr>
          <w:p>
            <w:pPr>
              <w:rPr>
                <w:lang w:val="sq-AL"/>
              </w:rPr>
            </w:pPr>
          </w:p>
        </w:tc>
        <w:tc>
          <w:tcPr>
            <w:tcW w:w="1871" w:type="dxa"/>
            <w:hideMark/>
          </w:tcPr>
          <w:p>
            <w:pPr>
              <w:rPr>
                <w:lang w:val="sq-AL"/>
              </w:rPr>
            </w:pPr>
            <w:r>
              <w:rPr>
                <w:lang w:val="sq-AL"/>
              </w:rPr>
              <w:t>Myosotis scorpioides</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Cirsium creticum</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1</w:t>
            </w:r>
          </w:p>
        </w:tc>
        <w:tc>
          <w:tcPr>
            <w:tcW w:w="1043" w:type="dxa"/>
          </w:tcPr>
          <w:p>
            <w:pPr>
              <w:rPr>
                <w:lang w:val="sq-AL"/>
              </w:rPr>
            </w:pPr>
          </w:p>
        </w:tc>
      </w:tr>
      <w:tr>
        <w:tc>
          <w:tcPr>
            <w:tcW w:w="516" w:type="dxa"/>
            <w:vAlign w:val="center"/>
          </w:tcPr>
          <w:p>
            <w:pPr>
              <w:rPr>
                <w:lang w:val="sq-AL"/>
              </w:rPr>
            </w:pPr>
          </w:p>
        </w:tc>
        <w:tc>
          <w:tcPr>
            <w:tcW w:w="1871" w:type="dxa"/>
            <w:hideMark/>
          </w:tcPr>
          <w:p>
            <w:pPr>
              <w:rPr>
                <w:lang w:val="sq-AL"/>
              </w:rPr>
            </w:pPr>
            <w:r>
              <w:rPr>
                <w:lang w:val="sq-AL"/>
              </w:rPr>
              <w:t>Echinocystis lobata</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555" w:type="dxa"/>
            <w:hideMark/>
          </w:tcPr>
          <w:p>
            <w:pPr>
              <w:rPr>
                <w:lang w:val="sq-AL"/>
              </w:rPr>
            </w:pPr>
            <w:r>
              <w:rPr>
                <w:lang w:val="sq-AL"/>
              </w:rPr>
              <w:t>.</w:t>
            </w:r>
          </w:p>
        </w:tc>
        <w:tc>
          <w:tcPr>
            <w:tcW w:w="637" w:type="dxa"/>
            <w:hideMark/>
          </w:tcPr>
          <w:p>
            <w:pPr>
              <w:rPr>
                <w:lang w:val="sq-AL"/>
              </w:rPr>
            </w:pPr>
            <w:r>
              <w:rPr>
                <w:lang w:val="sq-AL"/>
              </w:rPr>
              <w:t>+</w:t>
            </w:r>
          </w:p>
        </w:tc>
        <w:tc>
          <w:tcPr>
            <w:tcW w:w="1043" w:type="dxa"/>
          </w:tcPr>
          <w:p>
            <w:pPr>
              <w:rPr>
                <w:lang w:val="sq-AL"/>
              </w:rPr>
            </w:pPr>
          </w:p>
        </w:tc>
      </w:tr>
      <w:tr>
        <w:tc>
          <w:tcPr>
            <w:tcW w:w="9062" w:type="dxa"/>
            <w:gridSpan w:val="13"/>
            <w:vAlign w:val="center"/>
          </w:tcPr>
          <w:p>
            <w:pPr>
              <w:rPr>
                <w:lang w:val="sq-AL"/>
              </w:rPr>
            </w:pPr>
            <w:r>
              <w:rPr>
                <w:lang w:val="sq-AL"/>
              </w:rPr>
              <w:t>Lokalitetet: L.1. - Radavc, L.2. – Dobrushë, L.3. – Burim (Istog), L.4. – Brod, L.5. – Drelaj, L.6. Deçan, L.7. – Jasiq, L.8. – Zllakuqan (Klinë). L.9. – Burimi i lumit Brod, L.10. – Prevallë.</w:t>
            </w:r>
          </w:p>
          <w:p>
            <w:pPr>
              <w:rPr>
                <w:lang w:val="sq-AL"/>
              </w:rPr>
            </w:pPr>
            <w:r>
              <w:rPr>
                <w:lang w:val="sq-AL"/>
              </w:rPr>
              <w:t>Vlerat e mbulimit bimor:</w:t>
            </w:r>
          </w:p>
          <w:p>
            <w:pPr>
              <w:ind w:left="720"/>
              <w:rPr>
                <w:lang w:val="sq-AL"/>
              </w:rPr>
            </w:pPr>
            <w:r>
              <w:rPr>
                <w:lang w:val="sq-AL"/>
              </w:rPr>
              <w:t>+ Specie të pranishme (të parëndësishme)</w:t>
            </w:r>
          </w:p>
          <w:p>
            <w:pPr>
              <w:ind w:left="720"/>
              <w:rPr>
                <w:lang w:val="sq-AL"/>
              </w:rPr>
            </w:pPr>
            <w:r>
              <w:rPr>
                <w:lang w:val="sq-AL"/>
              </w:rPr>
              <w:t>1 Specie të rralla (prej vetëm pak individëve)</w:t>
            </w:r>
          </w:p>
          <w:p>
            <w:pPr>
              <w:ind w:left="720"/>
              <w:rPr>
                <w:lang w:val="sq-AL"/>
              </w:rPr>
            </w:pPr>
            <w:r>
              <w:rPr>
                <w:lang w:val="sq-AL"/>
              </w:rPr>
              <w:t>2 Specie të rastit (1-10% të mbulimit)</w:t>
            </w:r>
          </w:p>
          <w:p>
            <w:pPr>
              <w:ind w:left="720"/>
              <w:rPr>
                <w:lang w:val="sq-AL"/>
              </w:rPr>
            </w:pPr>
            <w:r>
              <w:rPr>
                <w:lang w:val="sq-AL"/>
              </w:rPr>
              <w:t>3 Specie të shpeshta (10-50% të mbulimit)</w:t>
            </w:r>
          </w:p>
          <w:p>
            <w:pPr>
              <w:ind w:left="720"/>
              <w:rPr>
                <w:lang w:val="sq-AL"/>
              </w:rPr>
            </w:pPr>
            <w:r>
              <w:rPr>
                <w:lang w:val="sq-AL"/>
              </w:rPr>
              <w:t>4 Specie të bollshme (50-70% të mbulimit)</w:t>
            </w:r>
          </w:p>
          <w:p>
            <w:pPr>
              <w:ind w:left="720"/>
              <w:rPr>
                <w:lang w:val="sq-AL"/>
              </w:rPr>
            </w:pPr>
            <w:r>
              <w:rPr>
                <w:noProof/>
              </w:rPr>
              <w:drawing>
                <wp:anchor distT="0" distB="0" distL="114300" distR="114300" simplePos="0" relativeHeight="251665408" behindDoc="0" locked="0" layoutInCell="1" allowOverlap="1">
                  <wp:simplePos x="0" y="0"/>
                  <wp:positionH relativeFrom="column">
                    <wp:posOffset>-635</wp:posOffset>
                  </wp:positionH>
                  <wp:positionV relativeFrom="paragraph">
                    <wp:posOffset>285750</wp:posOffset>
                  </wp:positionV>
                  <wp:extent cx="171450" cy="180975"/>
                  <wp:effectExtent l="0" t="0" r="0" b="0"/>
                  <wp:wrapNone/>
                  <wp:docPr id="126" name="Picture 3" descr="red_square_by_jillzbeanstal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d_square_by_jillzbeanstalk[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q-AL"/>
              </w:rPr>
              <w:t>5 Specie dominonte (70-100% të mbulimit).</w:t>
            </w:r>
          </w:p>
          <w:p>
            <w:pPr>
              <w:rPr>
                <w:lang w:val="sq-AL"/>
              </w:rPr>
            </w:pPr>
            <w:r>
              <w:rPr>
                <w:lang w:val="sq-AL"/>
              </w:rPr>
              <w:tab/>
              <w:t xml:space="preserve">Speciet makrofite </w:t>
            </w:r>
          </w:p>
        </w:tc>
      </w:tr>
    </w:tbl>
    <w:p>
      <w:pPr>
        <w:rPr>
          <w:b/>
          <w:bCs/>
          <w:lang w:val="sq-AL"/>
        </w:rPr>
      </w:pPr>
      <w:bookmarkStart w:id="17" w:name="_Toc524367232"/>
      <w:r>
        <w:rPr>
          <w:b/>
          <w:bCs/>
          <w:lang w:val="sq-AL"/>
        </w:rPr>
        <w:t>Tabela 35. Pasqyrë e specieve makrofite në 10 vende të marrjes së mostrave në pellgun e lumit Drini i Bardhë.</w:t>
      </w:r>
      <w:bookmarkEnd w:id="17"/>
    </w:p>
    <w:p>
      <w:pPr>
        <w:rPr>
          <w:lang w:val="sq-AL"/>
        </w:rPr>
      </w:pPr>
      <w:r>
        <w:rPr>
          <w:lang w:val="sq-AL"/>
        </w:rPr>
        <w:t>Në tabelën 35 janë paraqitur speciet makrofite në 10 vende të marrjes së mostrave në pellgun e lumit Drini i Bardhë dhe speciet e makrofiteve të gjetura.</w:t>
      </w:r>
    </w:p>
    <w:p>
      <w:pPr>
        <w:rPr>
          <w:lang w:val="sq-AL"/>
        </w:rPr>
      </w:pPr>
      <w:r>
        <w:rPr>
          <w:lang w:val="sq-AL"/>
        </w:rPr>
        <w:t>Pas grumbullimit në terren të të gjitha mostrave dhe vlerësimit të mbulimit në zonën e lumit, disa specie u dërguan në laborator për identifikim të mëtejshëm.</w:t>
      </w:r>
    </w:p>
    <w:p>
      <w:pPr>
        <w:rPr>
          <w:lang w:val="sq-AL"/>
        </w:rPr>
      </w:pPr>
      <w:r>
        <w:rPr>
          <w:lang w:val="sq-AL"/>
        </w:rPr>
        <w:t>Sipas indeksit IM, vetëm dy nga speciet e marra mostër përfshihen në grupet e makrofiteve të indikatorit (Melzer &amp; Schneider, 2001) të përdorur për vlerësimin e IM: Potamogeton perfoliatus (gjetur në lokacionin L.4. – Brod dhe në L.8 – Zllakuqan (Klinë)) dhe Potamogeton crispus (gjetur në lokacionin L.6. Deçan dhe në L.8. – Zllakuqan (Klinë)).</w:t>
      </w:r>
    </w:p>
    <w:p>
      <w:pPr>
        <w:rPr>
          <w:lang w:val="sq-AL"/>
        </w:rPr>
      </w:pPr>
      <w:r>
        <w:rPr>
          <w:lang w:val="sq-AL"/>
        </w:rPr>
        <w:t>Ka lloje të tjera makrofite të gjetura në lokacione si për shembull: Amblystegium fluviatile,Lapsana communis, Equisetum fluviatilus, Ranunculus trichophyllus, Mentha aquatica, Polygonum hydropiper, Sparganium erectum, Lytrhum virgatum, Cladophora sp., Parnassia palustris, Najas marina, Potamogeton crispus, P.pectinatus, P. crispus, Nasturtium officinale and Callitriche palustris.</w:t>
      </w: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r>
        <w:rPr>
          <w:b/>
          <w:bCs/>
          <w:sz w:val="36"/>
          <w:szCs w:val="36"/>
          <w:lang w:val="sq-AL"/>
        </w:rPr>
        <w:t>SHTOJCA 13E. Rezultatet fiziko-kimike gjatë viteve 2016-2018</w:t>
      </w: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rPr>
          <w:b/>
          <w:bCs/>
          <w:sz w:val="36"/>
          <w:szCs w:val="36"/>
          <w:lang w:val="sq-AL"/>
        </w:rPr>
      </w:pPr>
    </w:p>
    <w:p>
      <w:pPr>
        <w:jc w:val="center"/>
        <w:rPr>
          <w:lang w:val="sq-AL"/>
        </w:rPr>
      </w:pPr>
    </w:p>
    <w:p>
      <w:pPr>
        <w:jc w:val="center"/>
        <w:rPr>
          <w:lang w:val="sq-AL"/>
        </w:rPr>
      </w:pPr>
    </w:p>
    <w:p>
      <w:pPr>
        <w:jc w:val="center"/>
        <w:rPr>
          <w:lang w:val="sq-AL"/>
        </w:rPr>
      </w:pPr>
      <w:r>
        <w:rPr>
          <w:noProof/>
        </w:rPr>
        <w:drawing>
          <wp:inline distT="0" distB="0" distL="0" distR="0">
            <wp:extent cx="3915508" cy="2324833"/>
            <wp:effectExtent l="0" t="0" r="8890" b="0"/>
            <wp:docPr id="401442" name="Picture 40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7882" cy="2344055"/>
                    </a:xfrm>
                    <a:prstGeom prst="rect">
                      <a:avLst/>
                    </a:prstGeom>
                  </pic:spPr>
                </pic:pic>
              </a:graphicData>
            </a:graphic>
          </wp:inline>
        </w:drawing>
      </w:r>
    </w:p>
    <w:p>
      <w:pPr>
        <w:jc w:val="center"/>
        <w:rPr>
          <w:b/>
          <w:bCs/>
          <w:lang w:val="sq-AL"/>
        </w:rPr>
      </w:pPr>
      <w:r>
        <w:rPr>
          <w:b/>
          <w:bCs/>
          <w:lang w:val="sq-AL"/>
        </w:rPr>
        <w:t>Figura 40. Krahasimi i vlerave të temperaturës në lokacione gjatë viteve 2016-2018</w:t>
      </w:r>
    </w:p>
    <w:p>
      <w:pPr>
        <w:rPr>
          <w:b/>
          <w:bCs/>
          <w:lang w:val="sq-AL"/>
        </w:rPr>
      </w:pPr>
    </w:p>
    <w:p>
      <w:pPr>
        <w:jc w:val="center"/>
        <w:rPr>
          <w:lang w:val="sq-AL"/>
        </w:rPr>
      </w:pPr>
      <w:r>
        <w:rPr>
          <w:noProof/>
        </w:rPr>
        <w:drawing>
          <wp:inline distT="0" distB="0" distL="0" distR="0">
            <wp:extent cx="3915410" cy="2324775"/>
            <wp:effectExtent l="0" t="0" r="8890" b="0"/>
            <wp:docPr id="401444" name="Picture 4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3406" cy="2335460"/>
                    </a:xfrm>
                    <a:prstGeom prst="rect">
                      <a:avLst/>
                    </a:prstGeom>
                  </pic:spPr>
                </pic:pic>
              </a:graphicData>
            </a:graphic>
          </wp:inline>
        </w:drawing>
      </w:r>
    </w:p>
    <w:p>
      <w:pPr>
        <w:jc w:val="center"/>
        <w:rPr>
          <w:b/>
          <w:bCs/>
          <w:lang w:val="sq-AL"/>
        </w:rPr>
      </w:pPr>
      <w:bookmarkStart w:id="18" w:name="_Toc524367255"/>
      <w:r>
        <w:rPr>
          <w:b/>
          <w:bCs/>
          <w:lang w:val="sq-AL"/>
        </w:rPr>
        <w:t>Figura 41. Krahasimi i vlerave të përçueshmërisë në lokacione gjatë viteve 2016-2018</w:t>
      </w:r>
    </w:p>
    <w:bookmarkEnd w:id="18"/>
    <w:p>
      <w:pPr>
        <w:rPr>
          <w:lang w:val="sq-AL"/>
        </w:rPr>
      </w:pPr>
    </w:p>
    <w:p>
      <w:pPr>
        <w:jc w:val="center"/>
        <w:rPr>
          <w:lang w:val="sq-AL"/>
        </w:rPr>
      </w:pPr>
      <w:r>
        <w:rPr>
          <w:noProof/>
        </w:rPr>
        <w:drawing>
          <wp:inline distT="0" distB="0" distL="0" distR="0">
            <wp:extent cx="3962400" cy="2352674"/>
            <wp:effectExtent l="0" t="0" r="0" b="0"/>
            <wp:docPr id="401446" name="Picture 4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5194" cy="2366208"/>
                    </a:xfrm>
                    <a:prstGeom prst="rect">
                      <a:avLst/>
                    </a:prstGeom>
                  </pic:spPr>
                </pic:pic>
              </a:graphicData>
            </a:graphic>
          </wp:inline>
        </w:drawing>
      </w:r>
    </w:p>
    <w:p>
      <w:pPr>
        <w:jc w:val="center"/>
        <w:rPr>
          <w:b/>
          <w:bCs/>
          <w:lang w:val="sq-AL"/>
        </w:rPr>
      </w:pPr>
      <w:r>
        <w:rPr>
          <w:b/>
          <w:bCs/>
          <w:lang w:val="sq-AL"/>
        </w:rPr>
        <w:t>Figure 42. Krahasimi i vlerave të pH në lokacione gjatë viteve 2016-2018</w:t>
      </w:r>
    </w:p>
    <w:p>
      <w:pPr>
        <w:rPr>
          <w:b/>
          <w:bCs/>
          <w:lang w:val="sq-AL"/>
        </w:rPr>
      </w:pPr>
    </w:p>
    <w:p>
      <w:pPr>
        <w:jc w:val="center"/>
        <w:rPr>
          <w:lang w:val="sq-AL"/>
        </w:rPr>
      </w:pPr>
      <w:r>
        <w:rPr>
          <w:noProof/>
        </w:rPr>
        <w:drawing>
          <wp:inline distT="0" distB="0" distL="0" distR="0">
            <wp:extent cx="3962400" cy="2352675"/>
            <wp:effectExtent l="0" t="0" r="0" b="9525"/>
            <wp:docPr id="401449" name="Picture 40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9929" cy="2357145"/>
                    </a:xfrm>
                    <a:prstGeom prst="rect">
                      <a:avLst/>
                    </a:prstGeom>
                  </pic:spPr>
                </pic:pic>
              </a:graphicData>
            </a:graphic>
          </wp:inline>
        </w:drawing>
      </w:r>
    </w:p>
    <w:p>
      <w:pPr>
        <w:jc w:val="center"/>
        <w:rPr>
          <w:b/>
          <w:bCs/>
          <w:lang w:val="sq-AL"/>
        </w:rPr>
      </w:pPr>
      <w:r>
        <w:rPr>
          <w:b/>
          <w:bCs/>
          <w:lang w:val="sq-AL"/>
        </w:rPr>
        <w:t>Figura 43. Krahasimi i vlerave të nitrateve në lokacione gjatë viteve 2016-2018</w:t>
      </w:r>
    </w:p>
    <w:p>
      <w:pPr>
        <w:rPr>
          <w:lang w:val="sq-AL"/>
        </w:rPr>
      </w:pPr>
    </w:p>
    <w:p>
      <w:pPr>
        <w:jc w:val="center"/>
        <w:rPr>
          <w:lang w:val="sq-AL"/>
        </w:rPr>
      </w:pPr>
      <w:r>
        <w:rPr>
          <w:noProof/>
        </w:rPr>
        <w:drawing>
          <wp:inline distT="0" distB="0" distL="0" distR="0">
            <wp:extent cx="3710354" cy="2203023"/>
            <wp:effectExtent l="0" t="0" r="4445" b="6985"/>
            <wp:docPr id="401459" name="Picture 40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3297" cy="2210708"/>
                    </a:xfrm>
                    <a:prstGeom prst="rect">
                      <a:avLst/>
                    </a:prstGeom>
                  </pic:spPr>
                </pic:pic>
              </a:graphicData>
            </a:graphic>
          </wp:inline>
        </w:drawing>
      </w:r>
    </w:p>
    <w:p>
      <w:pPr>
        <w:jc w:val="center"/>
        <w:rPr>
          <w:b/>
          <w:bCs/>
          <w:lang w:val="sq-AL"/>
        </w:rPr>
      </w:pPr>
      <w:r>
        <w:rPr>
          <w:b/>
          <w:bCs/>
          <w:lang w:val="sq-AL"/>
        </w:rPr>
        <w:t>Figura 44. Krahasimi i vlerave të amoniakut në lokacione gjatë viteve 2016-2018</w:t>
      </w:r>
    </w:p>
    <w:p>
      <w:pPr>
        <w:rPr>
          <w:b/>
          <w:bCs/>
          <w:lang w:val="sq-AL"/>
        </w:rPr>
      </w:pPr>
    </w:p>
    <w:p>
      <w:pPr>
        <w:jc w:val="center"/>
        <w:rPr>
          <w:lang w:val="sq-AL"/>
        </w:rPr>
      </w:pPr>
      <w:r>
        <w:rPr>
          <w:noProof/>
        </w:rPr>
        <w:drawing>
          <wp:inline distT="0" distB="0" distL="0" distR="0">
            <wp:extent cx="3702024" cy="2198077"/>
            <wp:effectExtent l="0" t="0" r="0" b="0"/>
            <wp:docPr id="401460" name="Picture 40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3753" cy="2199104"/>
                    </a:xfrm>
                    <a:prstGeom prst="rect">
                      <a:avLst/>
                    </a:prstGeom>
                  </pic:spPr>
                </pic:pic>
              </a:graphicData>
            </a:graphic>
          </wp:inline>
        </w:drawing>
      </w:r>
    </w:p>
    <w:p>
      <w:pPr>
        <w:jc w:val="center"/>
        <w:rPr>
          <w:b/>
          <w:bCs/>
          <w:lang w:val="sq-AL"/>
        </w:rPr>
      </w:pPr>
      <w:r>
        <w:rPr>
          <w:b/>
          <w:bCs/>
          <w:lang w:val="sq-AL"/>
        </w:rPr>
        <w:t>Figura 45. Krahasimi i vlerave të fosfateve në lokacione gjatë viteve 2016-2018</w:t>
      </w:r>
    </w:p>
    <w:p>
      <w:pPr>
        <w:rPr>
          <w:lang w:val="sq-AL"/>
        </w:rPr>
      </w:pPr>
    </w:p>
    <w:tbl>
      <w:tblPr>
        <w:tblW w:w="8789" w:type="dxa"/>
        <w:tblInd w:w="-5" w:type="dxa"/>
        <w:tblLook w:val="04A0" w:firstRow="1" w:lastRow="0" w:firstColumn="1" w:lastColumn="0" w:noHBand="0" w:noVBand="1"/>
      </w:tblPr>
      <w:tblGrid>
        <w:gridCol w:w="1985"/>
        <w:gridCol w:w="6804"/>
      </w:tblGrid>
      <w:tr>
        <w:trPr>
          <w:trHeight w:val="302"/>
          <w:tblHeader/>
        </w:trPr>
        <w:tc>
          <w:tcPr>
            <w:tcW w:w="198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pPr>
              <w:rPr>
                <w:b/>
                <w:bCs/>
                <w:color w:val="FFFFFF" w:themeColor="background1"/>
                <w:sz w:val="18"/>
                <w:szCs w:val="18"/>
                <w:lang w:val="sq-AL"/>
              </w:rPr>
            </w:pPr>
            <w:r>
              <w:rPr>
                <w:b/>
                <w:bCs/>
                <w:color w:val="FFFFFF" w:themeColor="background1"/>
                <w:sz w:val="18"/>
                <w:szCs w:val="18"/>
                <w:lang w:val="sq-AL"/>
              </w:rPr>
              <w:t>Lokacionet</w:t>
            </w:r>
          </w:p>
        </w:tc>
        <w:tc>
          <w:tcPr>
            <w:tcW w:w="6804" w:type="dxa"/>
            <w:tcBorders>
              <w:top w:val="single" w:sz="4" w:space="0" w:color="auto"/>
              <w:left w:val="single" w:sz="4" w:space="0" w:color="auto"/>
              <w:bottom w:val="single" w:sz="4" w:space="0" w:color="auto"/>
              <w:right w:val="single" w:sz="4" w:space="0" w:color="auto"/>
            </w:tcBorders>
            <w:shd w:val="clear" w:color="auto" w:fill="4472C4" w:themeFill="accent1"/>
            <w:hideMark/>
          </w:tcPr>
          <w:p>
            <w:pPr>
              <w:rPr>
                <w:b/>
                <w:bCs/>
                <w:color w:val="FFFFFF" w:themeColor="background1"/>
                <w:sz w:val="18"/>
                <w:szCs w:val="18"/>
                <w:lang w:val="sq-AL"/>
              </w:rPr>
            </w:pPr>
            <w:r>
              <w:rPr>
                <w:b/>
                <w:bCs/>
                <w:color w:val="FFFFFF" w:themeColor="background1"/>
                <w:sz w:val="18"/>
                <w:szCs w:val="18"/>
                <w:lang w:val="sq-AL"/>
              </w:rPr>
              <w:t>Shqyrtimi fiziko-kimik 2018</w:t>
            </w:r>
          </w:p>
        </w:tc>
      </w:tr>
      <w:tr>
        <w:trPr>
          <w:trHeight w:val="302"/>
        </w:trPr>
        <w:tc>
          <w:tcPr>
            <w:tcW w:w="1985" w:type="dxa"/>
            <w:tcBorders>
              <w:top w:val="single" w:sz="4" w:space="0" w:color="auto"/>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Radavc</w:t>
            </w:r>
          </w:p>
        </w:tc>
        <w:tc>
          <w:tcPr>
            <w:tcW w:w="6804" w:type="dxa"/>
            <w:tcBorders>
              <w:top w:val="single" w:sz="4" w:space="0" w:color="auto"/>
              <w:left w:val="single" w:sz="4" w:space="0" w:color="auto"/>
              <w:bottom w:val="single" w:sz="4" w:space="0" w:color="auto"/>
              <w:right w:val="single" w:sz="4" w:space="0" w:color="auto"/>
            </w:tcBorders>
            <w:hideMark/>
          </w:tcPr>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Vlerat për nitratet dhe amoniakun ishin më të larta se në vitin 2017 dhe 2016</w:t>
            </w:r>
          </w:p>
          <w:p>
            <w:pPr>
              <w:rPr>
                <w:sz w:val="18"/>
                <w:szCs w:val="18"/>
                <w:lang w:val="sq-AL"/>
              </w:rPr>
            </w:pPr>
            <w:r>
              <w:rPr>
                <w:sz w:val="18"/>
                <w:szCs w:val="18"/>
                <w:lang w:val="sq-AL"/>
              </w:rPr>
              <w:t>Vlera për fosfatet në vitin 2018 ishte vlera më e ulët e viteve të fundit.</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Zlakuçan</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Vlerat për nitratet, amoniakun dhe fosfatet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Ura e transitic</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 e amoniakut ishte më e lartë se në vitin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Vlashnje</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Vlerat për nitratet dhe amoniakun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Drelaj</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 e amoniakut ishte më e lartë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Jasiq</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 e amoniakut ishte më e lartë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Klinë-dalje te ura</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Vlerat për nitratet, amoniakun dhe fosfatet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Mbi kishë</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për përçueshmërinë ishte më e ulët në vitin 2018 se më parë.</w:t>
            </w:r>
          </w:p>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Vlerat për nitratet dhe amoniakun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Zhdrella</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për përçueshmërinë ishte më e lartë në vitin 2018 se më parë.</w:t>
            </w:r>
          </w:p>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Vlerat për nitratet dhe amoniakun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Ura eTerzive</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për përçueshmërinë ishte më e ulët në vitin 2018 se më parë</w:t>
            </w:r>
          </w:p>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Vlerat për nitratet dhe amoniakun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Piranë</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Vlerat për nitratet dhe amoniakun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Gjonaj</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Vlerat për amoniakun ishin më të larta se në vitin2017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Kralan-Grykëderdhje</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për përçueshmërinë ishte më e ulët në vitin 2018 se më parë</w:t>
            </w:r>
          </w:p>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 e amoniakut ishte më e lartë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Drobrushte</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Nuk ka të dhëna për krahasim</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Arxhana Brod</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Nuk ka të dhëna për krahasim</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Plavë</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Nuk ka të dhëna për krahasim</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Dragash</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Nuk ka të dhëna për krahasim</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Prevallë</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për përçueshmërinë ishte më e ulët në vitin 2018 se më parë</w:t>
            </w:r>
          </w:p>
          <w:p>
            <w:pPr>
              <w:rPr>
                <w:sz w:val="18"/>
                <w:szCs w:val="18"/>
                <w:lang w:val="sq-AL"/>
              </w:rPr>
            </w:pPr>
            <w:r>
              <w:rPr>
                <w:sz w:val="18"/>
                <w:szCs w:val="18"/>
                <w:lang w:val="sq-AL"/>
              </w:rPr>
              <w:t>Vlera e pH ishte më e ulët në vitin 2018 se më parë</w:t>
            </w:r>
          </w:p>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 e amoniakut ishte më e lartë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Burimi Istog</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O2 të tretur ishte më e lartë në vitin 2018 se më parë</w:t>
            </w:r>
          </w:p>
          <w:p>
            <w:pPr>
              <w:rPr>
                <w:sz w:val="18"/>
                <w:szCs w:val="18"/>
                <w:lang w:val="sq-AL"/>
              </w:rPr>
            </w:pPr>
            <w:r>
              <w:rPr>
                <w:sz w:val="18"/>
                <w:szCs w:val="18"/>
                <w:lang w:val="sq-AL"/>
              </w:rPr>
              <w:t>Vlerat për nitratet dhe amoniakun ishin më të larta se në vitin 2017 dhe 2016.</w:t>
            </w:r>
          </w:p>
        </w:tc>
      </w:tr>
      <w:tr>
        <w:trPr>
          <w:trHeight w:val="302"/>
        </w:trPr>
        <w:tc>
          <w:tcPr>
            <w:tcW w:w="1985" w:type="dxa"/>
            <w:tcBorders>
              <w:top w:val="nil"/>
              <w:left w:val="single" w:sz="4" w:space="0" w:color="auto"/>
              <w:bottom w:val="single" w:sz="4" w:space="0" w:color="auto"/>
              <w:right w:val="single" w:sz="4" w:space="0" w:color="auto"/>
            </w:tcBorders>
            <w:noWrap/>
            <w:vAlign w:val="bottom"/>
            <w:hideMark/>
          </w:tcPr>
          <w:p>
            <w:pPr>
              <w:rPr>
                <w:sz w:val="18"/>
                <w:szCs w:val="18"/>
                <w:lang w:val="sq-AL"/>
              </w:rPr>
            </w:pPr>
            <w:r>
              <w:rPr>
                <w:sz w:val="18"/>
                <w:szCs w:val="18"/>
                <w:lang w:val="sq-AL"/>
              </w:rPr>
              <w:t>Voljakë</w:t>
            </w:r>
          </w:p>
        </w:tc>
        <w:tc>
          <w:tcPr>
            <w:tcW w:w="6804" w:type="dxa"/>
            <w:tcBorders>
              <w:top w:val="nil"/>
              <w:left w:val="single" w:sz="4" w:space="0" w:color="auto"/>
              <w:bottom w:val="single" w:sz="4" w:space="0" w:color="auto"/>
              <w:right w:val="single" w:sz="4" w:space="0" w:color="auto"/>
            </w:tcBorders>
            <w:hideMark/>
          </w:tcPr>
          <w:p>
            <w:pPr>
              <w:rPr>
                <w:sz w:val="18"/>
                <w:szCs w:val="18"/>
                <w:lang w:val="sq-AL"/>
              </w:rPr>
            </w:pPr>
            <w:r>
              <w:rPr>
                <w:sz w:val="18"/>
                <w:szCs w:val="18"/>
                <w:lang w:val="sq-AL"/>
              </w:rPr>
              <w:t>Vlera e amoniakut ishte më e lartë se në vitin 2017 dhe 2016.</w:t>
            </w:r>
          </w:p>
        </w:tc>
      </w:tr>
    </w:tbl>
    <w:p>
      <w:pPr>
        <w:rPr>
          <w:b/>
          <w:bCs/>
          <w:lang w:val="sq-AL"/>
        </w:rPr>
      </w:pPr>
      <w:r>
        <w:rPr>
          <w:b/>
          <w:bCs/>
          <w:lang w:val="sq-AL"/>
        </w:rPr>
        <w:t>Tabela 41. Pasqyrë e rezultateve në lidhje me parametrat fiziko-kimikë në çdo lokacion</w:t>
      </w:r>
    </w:p>
    <w:p>
      <w:pPr>
        <w:rPr>
          <w:lang w:val="sq-AL"/>
        </w:rPr>
      </w:pPr>
      <w:r>
        <w:rPr>
          <w:lang w:val="sq-AL"/>
        </w:rPr>
        <w:t>Monitorimi i lumenjve në territorin e Republikës së Kosovës bëhet nga Instituti Hidrometeorologjik i Kosovës. Cilësia e këtyre lumenjve përcaktohet në bazë të analizave fiziko-kimike dhe pranisë së metaleve të rënda. Pellgu i Drinit të Bardhë përfshin 10 lumenj me 23 stacione monitorimi, ku janë analizuar testet e cilësisë fiziko-kimike.</w:t>
      </w:r>
    </w:p>
    <w:p>
      <w:pPr>
        <w:rPr>
          <w:lang w:val="sq-AL"/>
        </w:rPr>
      </w:pPr>
      <w:r>
        <w:rPr>
          <w:lang w:val="sq-AL"/>
        </w:rPr>
        <w:t xml:space="preserve">Tre nga këto janë stacione bazë që i përkasin lumit Drini i Bardhë: një në burimin e lumit në malin e Radavcit mbi Pejë, një në bashkimin e lumenjve Istog dhe Klina në Klinë dhe i fundit në bashkimin e lumenjve Lumbardhi i Pejës, Deçani, Mirusha, Ereniku, Rimniku dhe Toplluha, të ndodhur tek ura ne fshatin Gjonaj te Hasit.. </w:t>
      </w:r>
    </w:p>
    <w:p>
      <w:pPr>
        <w:rPr>
          <w:lang w:val="sq-AL"/>
        </w:rPr>
      </w:pPr>
      <w:r>
        <w:rPr>
          <w:lang w:val="sq-AL"/>
        </w:rPr>
        <w:t>Cilësia e ujit ndryshon ndërsa rrjedh nëpër stacione. Uji në burim ka një cilësi të mirë, por në dy stacionet e tjera ka ndotje të shkaktuar nga ujërat e patrajtuara që derdhen në lumin kryesor dhe në lumenjtë e përmendur më sipër të cilët janë nënpellgje të këtij lumi. Ndotja është shkaktuar edhe nga uji që përdoret për tokën bujqësore.</w:t>
      </w:r>
    </w:p>
    <w:p>
      <w:pPr>
        <w:rPr>
          <w:lang w:val="sq-AL"/>
        </w:rPr>
      </w:pPr>
      <w:r>
        <w:rPr>
          <w:lang w:val="sq-AL"/>
        </w:rPr>
        <w:t>Rezultatet e analizave fiziko-kimike të kryera në kuadër të projektit të të zgjeruar të Drinit tregojnë se cilësia e ujit në të gjitha burimet e lumenjve është e mirë. Situata fillon të ndryshojë në afërsi të vendbanimeve për shkak të shkarkimit të ujërave të zeza dhe ujërave nga kolektorët industrialë përgjatë rrjedhës së këtij pellgu lumor. Një tjetër shkak i ndotjes është depozitimi i papërshtatshëm i mbetjeve të ngurta pranë lumenjve dhe vendndodhjeve të urave.</w:t>
      </w:r>
    </w:p>
    <w:p>
      <w:pPr>
        <w:rPr>
          <w:lang w:val="sq-AL"/>
        </w:rPr>
      </w:pPr>
      <w:r>
        <w:rPr>
          <w:lang w:val="sq-AL"/>
        </w:rPr>
        <w:t>Uji ka cilësi të mirë deri në pikën e bashkimit me lumin Istog. Ndryshimet drastike fillojnë në rajonet Zllakuqan–Ruhot dhe Zllakuqan–Klinë. Në pikën e bashkimit të lumenjve Drini i Bardhë dhe Klina, cilësia e ujit është shumë e dobët.</w:t>
      </w:r>
    </w:p>
    <w:p>
      <w:pPr>
        <w:rPr>
          <w:lang w:val="sq-AL"/>
        </w:rPr>
      </w:pPr>
      <w:r>
        <w:rPr>
          <w:lang w:val="sq-AL"/>
        </w:rPr>
        <w:t>Si përfundim, uji i pellgut të Drinit të Bardhë është i ndotur nga shkarkimet në nënpellgje, të cilat më parë i janë nënshtruar veprimeve njerëzore. Kjo situatë vazhdon deri në Vllashnje në pikën e derdhjes në Lumbardhin e Prizrenit.</w:t>
      </w:r>
    </w:p>
    <w:p>
      <w:pPr>
        <w:rPr>
          <w:lang w:val="sq-AL"/>
        </w:rPr>
      </w:pPr>
      <w:r>
        <w:rPr>
          <w:lang w:val="sq-AL"/>
        </w:rPr>
        <w:t>Rezultatet e vlerësimit të ndikimit bazuar në informacionin e siguruar nga fushata monitoruese e kryer në vitin 2017 nga projekti i zgjeruar i Drinit dhe ato të kryera në vitin 2018 në kuadër të Komponentit 7 të PMK, janë paraqitur më poshtë.</w:t>
      </w:r>
    </w:p>
    <w:p>
      <w:pPr>
        <w:rPr>
          <w:b/>
          <w:bCs/>
          <w:lang w:val="sq-AL"/>
        </w:rPr>
      </w:pPr>
      <w:bookmarkStart w:id="19" w:name="_Toc43198464"/>
    </w:p>
    <w:p>
      <w:pPr>
        <w:rPr>
          <w:b/>
          <w:bCs/>
          <w:lang w:val="sq-AL"/>
        </w:rPr>
      </w:pPr>
      <w:r>
        <w:rPr>
          <w:b/>
          <w:bCs/>
          <w:lang w:val="sq-AL"/>
        </w:rPr>
        <w:t>Lumi i Istogut</w:t>
      </w:r>
      <w:bookmarkEnd w:id="19"/>
    </w:p>
    <w:p>
      <w:pPr>
        <w:rPr>
          <w:lang w:val="sq-AL"/>
        </w:rPr>
      </w:pPr>
      <w:r>
        <w:rPr>
          <w:lang w:val="sq-AL"/>
        </w:rPr>
        <w:t>Buron në bjeshkën mbi qytetin e Istogut me një cilësi shumë të mirë, e cila nuk ndryshon deri në bashkimin e tij me lumin Drini i Bardhë. Njihet si lumi më i pastër në Kosovë.</w:t>
      </w:r>
    </w:p>
    <w:p>
      <w:pPr>
        <w:rPr>
          <w:lang w:val="sq-AL"/>
        </w:rPr>
      </w:pPr>
    </w:p>
    <w:p>
      <w:pPr>
        <w:rPr>
          <w:b/>
          <w:bCs/>
          <w:lang w:val="sq-AL"/>
        </w:rPr>
      </w:pPr>
      <w:bookmarkStart w:id="20" w:name="_Toc43198465"/>
      <w:r>
        <w:rPr>
          <w:b/>
          <w:bCs/>
          <w:lang w:val="sq-AL"/>
        </w:rPr>
        <w:t>Lumi Klina</w:t>
      </w:r>
      <w:bookmarkEnd w:id="20"/>
    </w:p>
    <w:p>
      <w:pPr>
        <w:rPr>
          <w:lang w:val="sq-AL"/>
        </w:rPr>
      </w:pPr>
      <w:r>
        <w:rPr>
          <w:lang w:val="sq-AL"/>
        </w:rPr>
        <w:t>Stacioni i parë i monitorimit të këtij lumi ndodhet në Cerpule, i cili nuk i plotëson kriteret si burim i parë apo kryesor për shkak të vendndodhjes së tij larg burimit. Derisa uji të arrijë në këtë vend ndikohet nga aktiviteti njerëzor, prandaj cilësia e tij në të dy stacionet e monitorimit është e dobët, siç tregohet në testet laboratorike.</w:t>
      </w:r>
    </w:p>
    <w:p>
      <w:pPr>
        <w:rPr>
          <w:lang w:val="sq-AL"/>
        </w:rPr>
      </w:pPr>
    </w:p>
    <w:p>
      <w:pPr>
        <w:rPr>
          <w:b/>
          <w:bCs/>
          <w:lang w:val="sq-AL"/>
        </w:rPr>
      </w:pPr>
      <w:bookmarkStart w:id="21" w:name="_Toc43198466"/>
      <w:r>
        <w:rPr>
          <w:b/>
          <w:bCs/>
          <w:lang w:val="sq-AL"/>
        </w:rPr>
        <w:t>Lumi Lumbardhi i Pejës (Bistrica e Pejës)</w:t>
      </w:r>
      <w:bookmarkEnd w:id="21"/>
    </w:p>
    <w:p>
      <w:pPr>
        <w:rPr>
          <w:lang w:val="sq-AL"/>
        </w:rPr>
      </w:pPr>
      <w:r>
        <w:t>Lumëbardhi i Pejës formohet nga disa burime përgjatë Grykës së Rugovës, stacioni parësor monitorues i të cilit është në fshatin Drelaj. Ka cilësi të mirë fizike dhe kimike në stacionin e parë, por për shkak të shkarkimit të ujërave urbane dhe industriale, kjo cilësi përkeqësohet. Cilësia e ujit të tij ndikohet gjithashtu sepse gjatë stinës së ujitjeve të verës lumi thahet për rreth dy muaj. Stacioni i tretë monitorues ndodhet afër Klinës para bashkimit të tij me lumin Drini i Bardhë, ku cilësia e tij është shumë e dobët</w:t>
      </w:r>
      <w:r>
        <w:rPr>
          <w:lang w:val="sq-AL"/>
        </w:rPr>
        <w:t>.</w:t>
      </w:r>
    </w:p>
    <w:p>
      <w:pPr>
        <w:rPr>
          <w:lang w:val="sq-AL"/>
        </w:rPr>
      </w:pPr>
    </w:p>
    <w:p>
      <w:pPr>
        <w:rPr>
          <w:b/>
          <w:bCs/>
          <w:lang w:val="sq-AL"/>
        </w:rPr>
      </w:pPr>
      <w:bookmarkStart w:id="22" w:name="_Toc43198467"/>
      <w:r>
        <w:rPr>
          <w:b/>
          <w:bCs/>
          <w:lang w:val="sq-AL"/>
        </w:rPr>
        <w:t>Lumi Mirusha</w:t>
      </w:r>
      <w:bookmarkEnd w:id="22"/>
    </w:p>
    <w:p>
      <w:pPr>
        <w:rPr>
          <w:lang w:val="sq-AL"/>
        </w:rPr>
      </w:pPr>
      <w:r>
        <w:rPr>
          <w:lang w:val="sq-AL"/>
        </w:rPr>
        <w:t>Lumi Mirusha formohet në kodrat mbi fshatin Bllacë të Therandës nga shumë burime të vogla. Ky lumë monitorohet vetëm në një stacion në Volljak pak metra para se të bashkohet me lumin Drini i Bardhë. Uji i tij ka turbullirë të vogël, sasi oksigjeni të tretur 6,41-9,59 mg/l O2 dhe përçueshmëri elektrike 605–718 μS/cm, prandaj i përket lumenjve me cilësi mesatare të ujit.</w:t>
      </w:r>
    </w:p>
    <w:p>
      <w:pPr>
        <w:rPr>
          <w:b/>
          <w:bCs/>
          <w:lang w:val="sq-AL"/>
        </w:rPr>
      </w:pPr>
      <w:bookmarkStart w:id="23" w:name="_Toc43198468"/>
      <w:r>
        <w:rPr>
          <w:b/>
          <w:bCs/>
          <w:lang w:val="sq-AL"/>
        </w:rPr>
        <w:t>Lumbardhi i Deçanit River (Bistrica e Deçanit)</w:t>
      </w:r>
      <w:bookmarkEnd w:id="23"/>
    </w:p>
    <w:p>
      <w:pPr>
        <w:rPr>
          <w:lang w:val="sq-AL"/>
        </w:rPr>
      </w:pPr>
      <w:r>
        <w:rPr>
          <w:lang w:val="sq-AL"/>
        </w:rPr>
        <w:t>Stacioni i parë i monitorimit sipas rrjetit të IHMK gjendet në km e 3 mbi qytet. Stacioni tjetër ndodhet 10 m para bashkimit me lumin Drini i Bardhë në fshatin Kralan të Gjakovës. Cilësia e tij në këtë stacion nuk është edhe aq alarmuese por ka pasur ngritje të vlerave të parametrave në krahasim me stacionin e parë.  Gjithashtu shkaktohet turbullirë e madhe për shkak të nxjerrjes së zhavorrit nga shtrati i tij prej kompanive private që operojnë vetëm disa dhjetëra metra mbi stacionin e monitorimit.</w:t>
      </w:r>
    </w:p>
    <w:p>
      <w:pPr>
        <w:rPr>
          <w:b/>
          <w:bCs/>
          <w:lang w:val="sq-AL"/>
        </w:rPr>
      </w:pPr>
      <w:bookmarkStart w:id="24" w:name="_Toc43198469"/>
      <w:r>
        <w:rPr>
          <w:b/>
          <w:bCs/>
          <w:lang w:val="sq-AL"/>
        </w:rPr>
        <w:t>Lumi Ereniku</w:t>
      </w:r>
      <w:bookmarkEnd w:id="24"/>
    </w:p>
    <w:p>
      <w:pPr>
        <w:rPr>
          <w:lang w:val="sq-AL"/>
        </w:rPr>
      </w:pPr>
      <w:r>
        <w:rPr>
          <w:lang w:val="sq-AL"/>
        </w:rPr>
        <w:t>Stacioni i parë i monitorimit të cilësisë së ujit të këtij lumi ndodhet në bjeshkët mbi fshatin Jasiq (Komuna e Junikut), ku nuk ka influencë nga aktivitetet njerëzore në atë pikë dhe cilësia e ujit rezulton shumë e mirë. Stacioni i dytë ndodhet në afërsi të bashkimit me lumin Drini i Bardhë te Ura e Terzive në Gjakovë. Cilësia e ujit në këtë pikë është e dobët pasi analizat treguan një prani detergjentesh. Lumi gjithnjë ka shkumë mbi sipërfaqe që supozohet të jetë rezultat i ndonjë veprimtarie për larjen e tekstileve (rrobave), autolarjeve apo edhe të ndonjë përdorimi tjetër të detergjenteve nga industritë të cilat veprojnë në atë regjion dhe që ujërat e tyre i shkarkojnë pa trajtim paraprak.</w:t>
      </w:r>
    </w:p>
    <w:p>
      <w:pPr>
        <w:rPr>
          <w:b/>
          <w:bCs/>
          <w:lang w:val="sq-AL"/>
        </w:rPr>
      </w:pPr>
      <w:bookmarkStart w:id="25" w:name="_Toc43198470"/>
      <w:r>
        <w:rPr>
          <w:b/>
          <w:bCs/>
          <w:lang w:val="sq-AL"/>
        </w:rPr>
        <w:t>Lumi Rimniku</w:t>
      </w:r>
      <w:bookmarkEnd w:id="25"/>
    </w:p>
    <w:p>
      <w:r>
        <w:t>Monitorimi i tij fillon në vendin e quajtur Zhdrellë jo larg nga burimi i tij, njihet si lum me përçueshmëri më të lartë (529 - 770 µS/cm) se të gjitha burimet e tjera dhe për përmbajte të sasisë së konsiderueshme të metaleve të rënda. Stacioni i radhës është disa metra para bashkimit me lumin Drini i Bardhë në Xërxë, ku matjet tregojnë sasi të vogël të oksigjenit dhe sasi të madhe të jonit amonium, fosfateve etj.</w:t>
      </w:r>
    </w:p>
    <w:p>
      <w:pPr>
        <w:rPr>
          <w:b/>
          <w:bCs/>
          <w:lang w:val="sq-AL"/>
        </w:rPr>
      </w:pPr>
      <w:bookmarkStart w:id="26" w:name="_Toc43198471"/>
      <w:r>
        <w:rPr>
          <w:b/>
          <w:bCs/>
          <w:lang w:val="sq-AL"/>
        </w:rPr>
        <w:t>Lumi Toplluha</w:t>
      </w:r>
      <w:bookmarkEnd w:id="26"/>
    </w:p>
    <w:p>
      <w:pPr>
        <w:rPr>
          <w:lang w:val="sq-AL"/>
        </w:rPr>
      </w:pPr>
      <w:r>
        <w:t>Stacion fillestar për monitorimin e këtij lumi është në vendin e quajtur Buqallë mbi kompleksin turistik “SOLID” në Therandë. Uji i këtij lumi ka rezultuar me cilësi shumë të mirë në të gjithë parametrat e matur, përderisa në stacionin e dytë në fshatin Piranë disa dhjetëra metra para bashkimit me lumin e Drinit të Bardhë uji ka cilësi më të dobët. Ka turbullirë permanente të lartë për shkak të nxjerrjes së zhavorrit nga shtrati i lumit.</w:t>
      </w:r>
    </w:p>
    <w:p>
      <w:pPr>
        <w:rPr>
          <w:lang w:val="sq-AL"/>
        </w:rPr>
      </w:pPr>
    </w:p>
    <w:p>
      <w:pPr>
        <w:rPr>
          <w:b/>
          <w:bCs/>
          <w:lang w:val="sq-AL"/>
        </w:rPr>
      </w:pPr>
      <w:bookmarkStart w:id="27" w:name="_Toc43198472"/>
      <w:r>
        <w:rPr>
          <w:b/>
          <w:bCs/>
          <w:lang w:val="sq-AL"/>
        </w:rPr>
        <w:t>Lumbardhi i Prizrenit (Bistrica e Prizrenit)</w:t>
      </w:r>
      <w:bookmarkEnd w:id="27"/>
    </w:p>
    <w:p>
      <w:pPr>
        <w:rPr>
          <w:lang w:val="sq-AL"/>
        </w:rPr>
      </w:pPr>
      <w:r>
        <w:t>Fillon nga Prevalla ka rrjedhë rrëke, stacioni i parë monitorues ndodhet po në grykën e Prevallës dhe matjet e kryera tregojnë për cilësi mjaftë të mirë në të gjithë parametrat. Stacioni i dytë  ndodhet në fshatin Vllashnje 3,5 km para bashkimit me lumin e Drinit të Bardhë dhe cilësia e ujit në këtë pikë është dukshëm më e dobët për shkak të ujërave të zeza që shkarkohen në të përgjatë rrjedhës</w:t>
      </w:r>
      <w:r>
        <w:rPr>
          <w:lang w:val="sq-AL"/>
        </w:rPr>
        <w:t>.</w:t>
      </w:r>
    </w:p>
    <w:p>
      <w:pPr>
        <w:rPr>
          <w:b/>
          <w:bCs/>
          <w:sz w:val="36"/>
          <w:szCs w:val="36"/>
          <w:lang w:val="sq-AL"/>
        </w:rPr>
      </w:pPr>
    </w:p>
    <w:p>
      <w:pPr>
        <w:rPr>
          <w:b/>
          <w:bCs/>
          <w:sz w:val="36"/>
          <w:szCs w:val="36"/>
          <w:lang w:val="sq-AL"/>
        </w:rPr>
      </w:pPr>
    </w:p>
    <w:sectPr>
      <w:pgSz w:w="11907" w:h="16840"/>
      <w:pgMar w:top="1411" w:right="1138" w:bottom="1411" w:left="1138"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dmin" w:date="2023-06-30T10:43:00Z" w:initials="A">
    <w:p>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Times New Roman"/>
    <w:charset w:val="A1"/>
    <w:family w:val="auto"/>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charset w:val="00"/>
    <w:family w:val="swiss"/>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TC Avant Garde Std M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18</w:t>
    </w:r>
    <w:r>
      <w:rPr>
        <w:noProof/>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43006059"/>
      <w:docPartObj>
        <w:docPartGallery w:val="Page Numbers (Bottom of Page)"/>
        <w:docPartUnique/>
      </w:docPartObj>
    </w:sdtPr>
    <w:sdtContent>
      <w:p>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97417539"/>
      <w:docPartObj>
        <w:docPartGallery w:val="Page Numbers (Bottom of Page)"/>
        <w:docPartUnique/>
      </w:docPartObj>
    </w:sdtPr>
    <w:sdtContent>
      <w:p>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sdtContent>
  </w:sdt>
  <w:p>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rFonts w:ascii="ITC Avant Garde Std Md" w:hAnsi="ITC Avant Garde Std Md"/>
      </w:rPr>
      <w:tab/>
    </w:r>
    <w:r>
      <w:rPr>
        <w:noProof/>
        <w:lang w:eastAsia="el-GR"/>
      </w:rPr>
      <w:t xml:space="preserve">                     </w:t>
    </w:r>
  </w:p>
  <w:p>
    <w:pPr>
      <w:pStyle w:val="HeaderFooter"/>
      <w:tabs>
        <w:tab w:val="left" w:pos="6270"/>
      </w:tabs>
      <w:spacing w:line="480" w:lineRule="auto"/>
      <w:jc w:val="both"/>
      <w:rPr>
        <w:rFonts w:ascii="ITC Avant Garde Std Md" w:hAnsi="ITC Avant Garde Std Md"/>
        <w:sz w:val="24"/>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rFonts w:ascii="ITC Avant Garde Std Md" w:hAnsi="ITC Avant Garde Std Md"/>
      </w:rPr>
      <w:tab/>
    </w:r>
    <w:r>
      <w:rPr>
        <w:noProof/>
        <w:lang w:eastAsia="el-GR"/>
      </w:rPr>
      <w:tab/>
      <w:t xml:space="preserve">                     </w:t>
    </w:r>
  </w:p>
  <w:p>
    <w:pPr>
      <w:pStyle w:val="HeaderFooter"/>
      <w:tabs>
        <w:tab w:val="center" w:pos="4819"/>
      </w:tabs>
      <w:spacing w:line="480" w:lineRule="auto"/>
      <w:jc w:val="both"/>
      <w:rPr>
        <w:rFonts w:ascii="ITC Avant Garde Std Md" w:hAnsi="ITC Avant Garde Std Md"/>
        <w:sz w:val="24"/>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firstLine="0"/>
      </w:pPr>
      <w:rPr>
        <w:position w:val="0"/>
        <w:sz w:val="24"/>
        <w:vertAlign w:val="baseline"/>
      </w:rPr>
    </w:lvl>
    <w:lvl w:ilvl="1">
      <w:start w:val="1"/>
      <w:numFmt w:val="decimal"/>
      <w:lvlText w:val="%1.%2."/>
      <w:lvlJc w:val="left"/>
      <w:pPr>
        <w:tabs>
          <w:tab w:val="num" w:pos="648"/>
        </w:tabs>
        <w:ind w:left="648" w:firstLine="360"/>
      </w:pPr>
      <w:rPr>
        <w:position w:val="0"/>
        <w:sz w:val="24"/>
        <w:vertAlign w:val="baseline"/>
      </w:rPr>
    </w:lvl>
    <w:lvl w:ilvl="2">
      <w:start w:val="1"/>
      <w:numFmt w:val="decimal"/>
      <w:lvlText w:val="%1.%2.%3."/>
      <w:lvlJc w:val="left"/>
      <w:pPr>
        <w:tabs>
          <w:tab w:val="num" w:pos="864"/>
        </w:tabs>
        <w:ind w:left="864" w:firstLine="720"/>
      </w:pPr>
      <w:rPr>
        <w:position w:val="0"/>
        <w:sz w:val="24"/>
        <w:vertAlign w:val="baseline"/>
      </w:rPr>
    </w:lvl>
    <w:lvl w:ilvl="3">
      <w:start w:val="1"/>
      <w:numFmt w:val="decimal"/>
      <w:lvlText w:val="%1.%2.%3.%4."/>
      <w:lvlJc w:val="left"/>
      <w:pPr>
        <w:tabs>
          <w:tab w:val="num" w:pos="1051"/>
        </w:tabs>
        <w:ind w:left="1051" w:firstLine="1080"/>
      </w:pPr>
      <w:rPr>
        <w:position w:val="0"/>
        <w:sz w:val="24"/>
        <w:vertAlign w:val="baseline"/>
      </w:rPr>
    </w:lvl>
    <w:lvl w:ilvl="4">
      <w:start w:val="1"/>
      <w:numFmt w:val="decimal"/>
      <w:lvlText w:val="%1.%2.%3.%4.%5."/>
      <w:lvlJc w:val="left"/>
      <w:pPr>
        <w:tabs>
          <w:tab w:val="num" w:pos="1253"/>
        </w:tabs>
        <w:ind w:left="1253" w:firstLine="1440"/>
      </w:pPr>
      <w:rPr>
        <w:position w:val="0"/>
        <w:sz w:val="24"/>
        <w:vertAlign w:val="baseline"/>
      </w:rPr>
    </w:lvl>
    <w:lvl w:ilvl="5">
      <w:start w:val="1"/>
      <w:numFmt w:val="decimal"/>
      <w:lvlText w:val="%1.%2.%3.%4.%5.%6."/>
      <w:lvlJc w:val="left"/>
      <w:pPr>
        <w:tabs>
          <w:tab w:val="num" w:pos="1440"/>
        </w:tabs>
        <w:ind w:left="1440" w:firstLine="1800"/>
      </w:pPr>
      <w:rPr>
        <w:position w:val="0"/>
        <w:sz w:val="24"/>
        <w:vertAlign w:val="baseline"/>
      </w:rPr>
    </w:lvl>
    <w:lvl w:ilvl="6">
      <w:start w:val="1"/>
      <w:numFmt w:val="decimal"/>
      <w:lvlText w:val="%1.%2.%3.%4.%5.%6.%7."/>
      <w:lvlJc w:val="left"/>
      <w:pPr>
        <w:tabs>
          <w:tab w:val="num" w:pos="1656"/>
        </w:tabs>
        <w:ind w:left="1656" w:firstLine="2160"/>
      </w:pPr>
      <w:rPr>
        <w:position w:val="0"/>
        <w:sz w:val="24"/>
        <w:vertAlign w:val="baseline"/>
      </w:rPr>
    </w:lvl>
    <w:lvl w:ilvl="7">
      <w:start w:val="1"/>
      <w:numFmt w:val="decimal"/>
      <w:lvlText w:val="%1.%2.%3.%4.%5.%6.%7.%8."/>
      <w:lvlJc w:val="left"/>
      <w:pPr>
        <w:tabs>
          <w:tab w:val="num" w:pos="1843"/>
        </w:tabs>
        <w:ind w:left="1843" w:firstLine="2520"/>
      </w:pPr>
      <w:rPr>
        <w:position w:val="0"/>
        <w:sz w:val="24"/>
        <w:vertAlign w:val="baseline"/>
      </w:rPr>
    </w:lvl>
    <w:lvl w:ilvl="8">
      <w:start w:val="1"/>
      <w:numFmt w:val="decimal"/>
      <w:lvlText w:val="%1.%2.%3.%4.%5.%6.%7.%8.%9."/>
      <w:lvlJc w:val="left"/>
      <w:pPr>
        <w:tabs>
          <w:tab w:val="num" w:pos="2059"/>
        </w:tabs>
        <w:ind w:left="2059" w:firstLine="2880"/>
      </w:pPr>
      <w:rPr>
        <w:position w:val="0"/>
        <w:sz w:val="24"/>
        <w:vertAlign w:val="baseline"/>
      </w:rPr>
    </w:lvl>
  </w:abstractNum>
  <w:abstractNum w:abstractNumId="2">
    <w:nsid w:val="225A0759"/>
    <w:multiLevelType w:val="multilevel"/>
    <w:tmpl w:val="3E20B1C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2111779"/>
    <w:multiLevelType w:val="hybridMultilevel"/>
    <w:tmpl w:val="7A1029A2"/>
    <w:lvl w:ilvl="0" w:tplc="AC7811AE">
      <w:start w:val="1"/>
      <w:numFmt w:val="bullet"/>
      <w:pStyle w:val="Bullet"/>
      <w:lvlText w:val=""/>
      <w:lvlJc w:val="left"/>
      <w:pPr>
        <w:ind w:left="720" w:hanging="360"/>
      </w:pPr>
      <w:rPr>
        <w:rFonts w:ascii="Symbol" w:hAnsi="Symbol" w:hint="default"/>
        <w:color w:val="A5A5A5" w:themeColor="accent3"/>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7AE14A94"/>
    <w:multiLevelType w:val="hybridMultilevel"/>
    <w:tmpl w:val="CD026F70"/>
    <w:lvl w:ilvl="0" w:tplc="0409000F">
      <w:start w:val="1"/>
      <w:numFmt w:val="decimal"/>
      <w:lvlText w:val="%1."/>
      <w:lvlJc w:val="left"/>
      <w:pPr>
        <w:ind w:left="720" w:hanging="360"/>
      </w:pPr>
      <w:rPr>
        <w:rFonts w:hint="default"/>
      </w:rPr>
    </w:lvl>
    <w:lvl w:ilvl="1" w:tplc="04090019" w:tentative="1">
      <w:start w:val="1"/>
      <w:numFmt w:val="lowerLetter"/>
      <w:pStyle w:val="Bulletlist2ndord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annotation reference" w:uiPriority="0"/>
    <w:lsdException w:name="List" w:uiPriority="0"/>
    <w:lsdException w:name="List Bullet" w:uiPriority="3" w:qFormat="1"/>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pPr>
      <w:keepNext/>
      <w:pageBreakBefore/>
      <w:numPr>
        <w:numId w:val="1"/>
      </w:numPr>
      <w:tabs>
        <w:tab w:val="num" w:pos="454"/>
      </w:tabs>
      <w:autoSpaceDE w:val="0"/>
      <w:autoSpaceDN w:val="0"/>
      <w:spacing w:before="480" w:after="120"/>
      <w:ind w:left="432" w:hanging="432"/>
      <w:jc w:val="both"/>
      <w:outlineLvl w:val="0"/>
    </w:pPr>
    <w:rPr>
      <w:rFonts w:ascii="Calibri" w:eastAsia="Times New Roman" w:hAnsi="Calibri"/>
      <w:b/>
      <w:bCs/>
      <w:color w:val="000000"/>
      <w:sz w:val="40"/>
      <w:szCs w:val="40"/>
      <w:lang w:val="en-GB" w:eastAsia="x-none"/>
    </w:rPr>
  </w:style>
  <w:style w:type="paragraph" w:styleId="Heading2">
    <w:name w:val="heading 2"/>
    <w:aliases w:val="H 2 KEPA"/>
    <w:basedOn w:val="Heading1"/>
    <w:next w:val="BodyText"/>
    <w:link w:val="Heading2Char"/>
    <w:qFormat/>
    <w:pPr>
      <w:keepNext w:val="0"/>
      <w:pageBreakBefore w:val="0"/>
      <w:numPr>
        <w:numId w:val="0"/>
      </w:numPr>
      <w:tabs>
        <w:tab w:val="num" w:pos="0"/>
        <w:tab w:val="num" w:pos="720"/>
      </w:tabs>
      <w:suppressAutoHyphens/>
      <w:autoSpaceDE/>
      <w:autoSpaceDN/>
      <w:spacing w:before="0" w:after="180"/>
      <w:ind w:left="576" w:hanging="576"/>
      <w:jc w:val="left"/>
      <w:outlineLvl w:val="1"/>
    </w:pPr>
    <w:rPr>
      <w:rFonts w:eastAsia="ヒラギノ角ゴ Pro W3" w:cs="Times New Roman"/>
      <w:b w:val="0"/>
      <w:iCs/>
      <w:color w:val="193C6C"/>
      <w:kern w:val="1"/>
      <w:sz w:val="28"/>
      <w:szCs w:val="28"/>
      <w:lang w:val="en-US" w:eastAsia="hi-IN" w:bidi="hi-IN"/>
    </w:rPr>
  </w:style>
  <w:style w:type="paragraph" w:styleId="Heading3">
    <w:name w:val="heading 3"/>
    <w:aliases w:val="H 3 KEPA"/>
    <w:next w:val="BodyText"/>
    <w:link w:val="Heading3Char"/>
    <w:qFormat/>
    <w:pPr>
      <w:tabs>
        <w:tab w:val="num" w:pos="0"/>
      </w:tabs>
      <w:suppressAutoHyphens/>
      <w:spacing w:after="180"/>
      <w:jc w:val="center"/>
      <w:outlineLvl w:val="2"/>
    </w:pPr>
    <w:rPr>
      <w:rFonts w:ascii="Calibri" w:eastAsia="ヒラギノ角ゴ Pro W3" w:hAnsi="Calibri" w:cs="Times New Roman"/>
      <w:color w:val="000000"/>
      <w:kern w:val="1"/>
      <w:sz w:val="28"/>
      <w:szCs w:val="20"/>
      <w:lang w:eastAsia="hi-IN" w:bidi="hi-IN"/>
    </w:rPr>
  </w:style>
  <w:style w:type="paragraph" w:styleId="Heading4">
    <w:name w:val="heading 4"/>
    <w:next w:val="BodyText"/>
    <w:link w:val="Heading4Char"/>
    <w:qFormat/>
    <w:pPr>
      <w:keepNext/>
      <w:tabs>
        <w:tab w:val="num" w:pos="0"/>
      </w:tabs>
      <w:suppressAutoHyphens/>
      <w:snapToGrid w:val="0"/>
      <w:spacing w:after="180" w:line="312" w:lineRule="auto"/>
      <w:jc w:val="center"/>
      <w:outlineLvl w:val="3"/>
    </w:pPr>
    <w:rPr>
      <w:rFonts w:ascii="Calibri" w:eastAsia="ヒラギノ角ゴ Pro W3" w:hAnsi="Calibri" w:cs="Times New Roman"/>
      <w:b/>
      <w:bCs/>
      <w:color w:val="000000"/>
      <w:kern w:val="1"/>
      <w:sz w:val="18"/>
      <w:szCs w:val="18"/>
      <w:lang w:eastAsia="hi-IN" w:bidi="hi-IN"/>
    </w:rPr>
  </w:style>
  <w:style w:type="paragraph" w:styleId="Heading5">
    <w:name w:val="heading 5"/>
    <w:basedOn w:val="Normal"/>
    <w:next w:val="Normal"/>
    <w:link w:val="Heading5Char"/>
    <w:uiPriority w:val="9"/>
    <w:semiHidden/>
    <w:unhideWhenUsed/>
    <w:pPr>
      <w:keepNext/>
      <w:keepLines/>
      <w:spacing w:before="40" w:line="276" w:lineRule="auto"/>
      <w:ind w:left="1008" w:hanging="1008"/>
      <w:jc w:val="both"/>
      <w:outlineLvl w:val="4"/>
    </w:pPr>
    <w:rPr>
      <w:rFonts w:asciiTheme="majorHAnsi" w:eastAsiaTheme="majorEastAsia" w:hAnsiTheme="majorHAnsi" w:cstheme="majorBidi"/>
      <w:color w:val="2F5496" w:themeColor="accent1" w:themeShade="BF"/>
      <w:sz w:val="20"/>
      <w:szCs w:val="22"/>
      <w:lang w:val="en-GB"/>
    </w:rPr>
  </w:style>
  <w:style w:type="paragraph" w:styleId="Heading6">
    <w:name w:val="heading 6"/>
    <w:basedOn w:val="Normal"/>
    <w:next w:val="Normal"/>
    <w:link w:val="Heading6Char"/>
    <w:uiPriority w:val="9"/>
    <w:semiHidden/>
    <w:unhideWhenUsed/>
    <w:qFormat/>
    <w:pPr>
      <w:keepNext/>
      <w:keepLines/>
      <w:spacing w:before="40" w:line="276" w:lineRule="auto"/>
      <w:ind w:left="1152" w:hanging="1152"/>
      <w:jc w:val="both"/>
      <w:outlineLvl w:val="5"/>
    </w:pPr>
    <w:rPr>
      <w:rFonts w:asciiTheme="majorHAnsi" w:eastAsiaTheme="majorEastAsia" w:hAnsiTheme="majorHAnsi" w:cstheme="majorBidi"/>
      <w:color w:val="1F3763" w:themeColor="accent1" w:themeShade="7F"/>
      <w:sz w:val="20"/>
      <w:szCs w:val="22"/>
      <w:lang w:val="en-GB"/>
    </w:rPr>
  </w:style>
  <w:style w:type="paragraph" w:styleId="Heading7">
    <w:name w:val="heading 7"/>
    <w:basedOn w:val="Normal"/>
    <w:next w:val="Normal"/>
    <w:link w:val="Heading7Char"/>
    <w:uiPriority w:val="9"/>
    <w:semiHidden/>
    <w:unhideWhenUsed/>
    <w:qFormat/>
    <w:pPr>
      <w:keepNext/>
      <w:keepLines/>
      <w:spacing w:before="40" w:line="276" w:lineRule="auto"/>
      <w:ind w:left="1296" w:hanging="1296"/>
      <w:jc w:val="both"/>
      <w:outlineLvl w:val="6"/>
    </w:pPr>
    <w:rPr>
      <w:rFonts w:asciiTheme="majorHAnsi" w:eastAsiaTheme="majorEastAsia" w:hAnsiTheme="majorHAnsi" w:cstheme="majorBidi"/>
      <w:i/>
      <w:iCs/>
      <w:color w:val="1F3763" w:themeColor="accent1" w:themeShade="7F"/>
      <w:sz w:val="20"/>
      <w:szCs w:val="22"/>
      <w:lang w:val="en-GB"/>
    </w:rPr>
  </w:style>
  <w:style w:type="paragraph" w:styleId="Heading8">
    <w:name w:val="heading 8"/>
    <w:basedOn w:val="Normal"/>
    <w:next w:val="Normal"/>
    <w:link w:val="Heading8Char"/>
    <w:uiPriority w:val="9"/>
    <w:semiHidden/>
    <w:unhideWhenUsed/>
    <w:qFormat/>
    <w:pPr>
      <w:keepNext/>
      <w:keepLines/>
      <w:spacing w:before="40" w:line="276" w:lineRule="auto"/>
      <w:ind w:left="1440" w:hanging="144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pPr>
      <w:keepNext/>
      <w:keepLines/>
      <w:spacing w:before="40" w:line="276" w:lineRule="auto"/>
      <w:ind w:left="1584" w:hanging="1584"/>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Times New Roman" w:hAnsi="Calibri"/>
      <w:b/>
      <w:bCs/>
      <w:color w:val="000000"/>
      <w:sz w:val="40"/>
      <w:szCs w:val="40"/>
      <w:lang w:val="en-GB" w:eastAsia="x-none"/>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character" w:customStyle="1" w:styleId="Heading2Char">
    <w:name w:val="Heading 2 Char"/>
    <w:aliases w:val="H 2 KEPA Char"/>
    <w:basedOn w:val="DefaultParagraphFont"/>
    <w:link w:val="Heading2"/>
    <w:rPr>
      <w:rFonts w:ascii="Calibri" w:eastAsia="ヒラギノ角ゴ Pro W3" w:hAnsi="Calibri" w:cs="Times New Roman"/>
      <w:bCs/>
      <w:iCs/>
      <w:color w:val="193C6C"/>
      <w:kern w:val="1"/>
      <w:sz w:val="28"/>
      <w:szCs w:val="28"/>
      <w:lang w:val="en-US" w:eastAsia="hi-IN" w:bidi="hi-IN"/>
    </w:rPr>
  </w:style>
  <w:style w:type="character" w:customStyle="1" w:styleId="Heading3Char">
    <w:name w:val="Heading 3 Char"/>
    <w:aliases w:val="H 3 KEPA Char"/>
    <w:basedOn w:val="DefaultParagraphFont"/>
    <w:link w:val="Heading3"/>
    <w:rPr>
      <w:rFonts w:ascii="Calibri" w:eastAsia="ヒラギノ角ゴ Pro W3" w:hAnsi="Calibri" w:cs="Times New Roman"/>
      <w:color w:val="000000"/>
      <w:kern w:val="1"/>
      <w:sz w:val="28"/>
      <w:szCs w:val="20"/>
      <w:lang w:val="en-US" w:eastAsia="hi-IN" w:bidi="hi-IN"/>
    </w:rPr>
  </w:style>
  <w:style w:type="character" w:customStyle="1" w:styleId="Heading4Char">
    <w:name w:val="Heading 4 Char"/>
    <w:basedOn w:val="DefaultParagraphFont"/>
    <w:link w:val="Heading4"/>
    <w:rPr>
      <w:rFonts w:ascii="Calibri" w:eastAsia="ヒラギノ角ゴ Pro W3" w:hAnsi="Calibri" w:cs="Times New Roman"/>
      <w:b/>
      <w:bCs/>
      <w:color w:val="000000"/>
      <w:kern w:val="1"/>
      <w:sz w:val="18"/>
      <w:szCs w:val="18"/>
      <w:lang w:val="en-US" w:eastAsia="hi-IN" w:bidi="hi-IN"/>
    </w:rPr>
  </w:style>
  <w:style w:type="paragraph" w:styleId="BodyText">
    <w:name w:val="Body Text"/>
    <w:basedOn w:val="Normal"/>
    <w:link w:val="BodyTextChar"/>
    <w:qFormat/>
    <w:pPr>
      <w:spacing w:after="120"/>
    </w:pPr>
    <w:rPr>
      <w:rFonts w:ascii="Times New Roman" w:eastAsia="Times New Roman" w:hAnsi="Times New Roman" w:cs="Times New Roman"/>
      <w:lang w:val="x-none" w:eastAsia="ar-SA"/>
    </w:rPr>
  </w:style>
  <w:style w:type="character" w:customStyle="1" w:styleId="BodyTextChar">
    <w:name w:val="Body Text Char"/>
    <w:basedOn w:val="DefaultParagraphFont"/>
    <w:link w:val="BodyText"/>
    <w:rPr>
      <w:rFonts w:ascii="Times New Roman" w:eastAsia="Times New Roman" w:hAnsi="Times New Roman" w:cs="Times New Roman"/>
      <w:lang w:val="x-none" w:eastAsia="ar-SA"/>
    </w:rPr>
  </w:style>
  <w:style w:type="character" w:customStyle="1" w:styleId="WW8Num2z0">
    <w:name w:val="WW8Num2z0"/>
    <w:rPr>
      <w:position w:val="0"/>
      <w:sz w:val="24"/>
      <w:vertAlign w:val="baseline"/>
    </w:rPr>
  </w:style>
  <w:style w:type="character" w:customStyle="1" w:styleId="Absatz-Standardschriftart">
    <w:name w:val="Absatz-Standardschriftart"/>
  </w:style>
  <w:style w:type="character" w:customStyle="1" w:styleId="WW8Num1z0">
    <w:name w:val="WW8Num1z0"/>
    <w:rPr>
      <w:position w:val="0"/>
      <w:sz w:val="24"/>
      <w:vertAlign w:val="baseline"/>
    </w:rPr>
  </w:style>
  <w:style w:type="character" w:customStyle="1" w:styleId="DefaultParagraphFont1">
    <w:name w:val="Default Paragraph Font1"/>
  </w:style>
  <w:style w:type="paragraph" w:customStyle="1" w:styleId="Heading">
    <w:name w:val="Heading"/>
    <w:basedOn w:val="Normal"/>
    <w:next w:val="BodyText"/>
    <w:pPr>
      <w:keepNext/>
      <w:spacing w:before="240" w:after="120"/>
    </w:pPr>
    <w:rPr>
      <w:rFonts w:ascii="Arial" w:eastAsia="Arial Unicode MS" w:hAnsi="Arial" w:cs="Arial Unicode MS"/>
      <w:sz w:val="28"/>
      <w:szCs w:val="28"/>
      <w:lang w:eastAsia="ar-SA"/>
    </w:rPr>
  </w:style>
  <w:style w:type="paragraph" w:styleId="List">
    <w:name w:val="List"/>
    <w:basedOn w:val="BodyText"/>
  </w:style>
  <w:style w:type="paragraph" w:styleId="Caption">
    <w:name w:val="caption"/>
    <w:aliases w:val="Caption Char Char Char Char Char,Caption Char Char Char,Caption_Tabela,2,Char1,Map,Tabelle,Beschriftung Char,Beschriftung Char1 Char,Beschriftung Char Char Char Char,Beschriftung Char Char1,Beschriftung Char1 Char Char Char Char"/>
    <w:basedOn w:val="Normal"/>
    <w:link w:val="CaptionChar"/>
    <w:qFormat/>
    <w:pPr>
      <w:suppressLineNumbers/>
      <w:spacing w:before="120" w:after="120"/>
    </w:pPr>
    <w:rPr>
      <w:rFonts w:ascii="Times New Roman" w:eastAsia="Times New Roman" w:hAnsi="Times New Roman" w:cs="Times New Roman"/>
      <w:i/>
      <w:iCs/>
      <w:lang w:eastAsia="ar-SA"/>
    </w:rPr>
  </w:style>
  <w:style w:type="paragraph" w:customStyle="1" w:styleId="Index">
    <w:name w:val="Index"/>
    <w:basedOn w:val="Normal"/>
    <w:pPr>
      <w:suppressLineNumbers/>
    </w:pPr>
    <w:rPr>
      <w:rFonts w:ascii="Times New Roman" w:eastAsia="Times New Roman" w:hAnsi="Times New Roman" w:cs="Times New Roman"/>
      <w:lang w:eastAsia="ar-SA"/>
    </w:rPr>
  </w:style>
  <w:style w:type="paragraph" w:customStyle="1" w:styleId="HeaderFooter">
    <w:name w:val="Header &amp; Footer"/>
    <w:pPr>
      <w:suppressAutoHyphens/>
      <w:spacing w:after="180" w:line="312" w:lineRule="auto"/>
    </w:pPr>
    <w:rPr>
      <w:rFonts w:ascii="Calibri" w:eastAsia="ヒラギノ角ゴ Pro W3" w:hAnsi="Calibri" w:cs="Times New Roman"/>
      <w:color w:val="1A3B67"/>
      <w:kern w:val="1"/>
      <w:sz w:val="22"/>
      <w:szCs w:val="20"/>
      <w:lang w:eastAsia="hi-IN" w:bidi="hi-IN"/>
    </w:rPr>
  </w:style>
  <w:style w:type="paragraph" w:customStyle="1" w:styleId="CompanyAddress">
    <w:name w:val="Company Address"/>
    <w:pPr>
      <w:spacing w:line="288" w:lineRule="auto"/>
      <w:jc w:val="center"/>
    </w:pPr>
    <w:rPr>
      <w:rFonts w:ascii="Calibri" w:eastAsia="ヒラギノ角ゴ Pro W3" w:hAnsi="Calibri" w:cs="Times New Roman"/>
      <w:color w:val="000000"/>
      <w:kern w:val="1"/>
      <w:sz w:val="22"/>
      <w:szCs w:val="20"/>
      <w:lang w:eastAsia="hi-IN" w:bidi="hi-IN"/>
    </w:rPr>
  </w:style>
  <w:style w:type="paragraph" w:customStyle="1" w:styleId="Reporttitle">
    <w:name w:val="Report title"/>
    <w:pPr>
      <w:suppressAutoHyphens/>
      <w:spacing w:after="180"/>
      <w:jc w:val="center"/>
    </w:pPr>
    <w:rPr>
      <w:rFonts w:ascii="Calibri" w:eastAsia="ヒラギノ角ゴ Pro W3" w:hAnsi="Calibri" w:cs="Times New Roman"/>
      <w:color w:val="193C6C"/>
      <w:kern w:val="1"/>
      <w:sz w:val="72"/>
      <w:szCs w:val="20"/>
      <w:lang w:eastAsia="hi-IN" w:bidi="hi-IN"/>
    </w:rPr>
  </w:style>
  <w:style w:type="paragraph" w:styleId="Subtitle">
    <w:name w:val="Subtitle"/>
    <w:next w:val="BodyText"/>
    <w:link w:val="SubtitleChar"/>
    <w:qFormat/>
    <w:pPr>
      <w:suppressAutoHyphens/>
      <w:spacing w:after="180"/>
      <w:jc w:val="center"/>
    </w:pPr>
    <w:rPr>
      <w:rFonts w:ascii="Calibri" w:eastAsia="ヒラギノ角ゴ Pro W3" w:hAnsi="Calibri" w:cs="Times New Roman"/>
      <w:color w:val="193C6C"/>
      <w:kern w:val="1"/>
      <w:sz w:val="36"/>
      <w:szCs w:val="20"/>
      <w:lang w:eastAsia="hi-IN" w:bidi="hi-IN"/>
    </w:rPr>
  </w:style>
  <w:style w:type="character" w:customStyle="1" w:styleId="SubtitleChar">
    <w:name w:val="Subtitle Char"/>
    <w:basedOn w:val="DefaultParagraphFont"/>
    <w:link w:val="Subtitle"/>
    <w:rPr>
      <w:rFonts w:ascii="Calibri" w:eastAsia="ヒラギノ角ゴ Pro W3" w:hAnsi="Calibri" w:cs="Times New Roman"/>
      <w:color w:val="193C6C"/>
      <w:kern w:val="1"/>
      <w:sz w:val="36"/>
      <w:szCs w:val="20"/>
      <w:lang w:val="en-US" w:eastAsia="hi-IN" w:bidi="hi-IN"/>
    </w:rPr>
  </w:style>
  <w:style w:type="paragraph" w:customStyle="1" w:styleId="FreeForm">
    <w:name w:val="Free Form"/>
    <w:pPr>
      <w:spacing w:line="312" w:lineRule="auto"/>
    </w:pPr>
    <w:rPr>
      <w:rFonts w:ascii="Helvetica Neue Light" w:eastAsia="ヒラギノ角ゴ Pro W3" w:hAnsi="Helvetica Neue Light" w:cs="Times New Roman"/>
      <w:color w:val="000000"/>
      <w:kern w:val="1"/>
      <w:sz w:val="18"/>
      <w:szCs w:val="20"/>
      <w:lang w:eastAsia="hi-IN" w:bidi="hi-IN"/>
    </w:rPr>
  </w:style>
  <w:style w:type="paragraph" w:customStyle="1" w:styleId="ContentsHeading">
    <w:name w:val="Contents Heading"/>
    <w:pPr>
      <w:suppressAutoHyphens/>
      <w:spacing w:after="180"/>
      <w:jc w:val="center"/>
    </w:pPr>
    <w:rPr>
      <w:rFonts w:ascii="Calibri" w:eastAsia="ヒラギノ角ゴ Pro W3" w:hAnsi="Calibri" w:cs="Times New Roman"/>
      <w:color w:val="193C6C"/>
      <w:kern w:val="1"/>
      <w:sz w:val="36"/>
      <w:szCs w:val="20"/>
      <w:lang w:eastAsia="hi-IN" w:bidi="hi-IN"/>
    </w:rPr>
  </w:style>
  <w:style w:type="paragraph" w:customStyle="1" w:styleId="Contents">
    <w:name w:val="Contents"/>
    <w:pPr>
      <w:suppressAutoHyphens/>
      <w:spacing w:after="180"/>
      <w:jc w:val="both"/>
    </w:pPr>
    <w:rPr>
      <w:rFonts w:ascii="Calibri" w:eastAsia="ヒラギノ角ゴ Pro W3" w:hAnsi="Calibri" w:cs="Times New Roman"/>
      <w:color w:val="000000"/>
      <w:kern w:val="1"/>
      <w:sz w:val="28"/>
      <w:szCs w:val="20"/>
      <w:lang w:eastAsia="hi-IN" w:bidi="hi-IN"/>
    </w:rPr>
  </w:style>
  <w:style w:type="paragraph" w:customStyle="1" w:styleId="BodyBullet">
    <w:name w:val="Body Bullet"/>
    <w:pPr>
      <w:suppressAutoHyphens/>
      <w:spacing w:line="312" w:lineRule="auto"/>
    </w:pPr>
    <w:rPr>
      <w:rFonts w:ascii="Calibri" w:eastAsia="ヒラギノ角ゴ Pro W3" w:hAnsi="Calibri" w:cs="Times New Roman"/>
      <w:color w:val="000000"/>
      <w:kern w:val="1"/>
      <w:sz w:val="28"/>
      <w:szCs w:val="20"/>
      <w:lang w:eastAsia="hi-IN" w:bidi="hi-IN"/>
    </w:rPr>
  </w:style>
  <w:style w:type="paragraph" w:customStyle="1" w:styleId="TableContents">
    <w:name w:val="Table Contents"/>
    <w:basedOn w:val="Normal"/>
    <w:pPr>
      <w:suppressLineNumbers/>
    </w:pPr>
    <w:rPr>
      <w:rFonts w:ascii="Times New Roman" w:eastAsia="Times New Roman" w:hAnsi="Times New Roman" w:cs="Times New Roman"/>
      <w:lang w:eastAsia="ar-SA"/>
    </w:r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rPr>
      <w:rFonts w:ascii="Times New Roman" w:eastAsia="Times New Roman" w:hAnsi="Times New Roman" w:cs="Times New Roman"/>
      <w:lang w:eastAsia="ar-SA"/>
    </w:rPr>
  </w:style>
  <w:style w:type="character" w:customStyle="1" w:styleId="HeaderChar">
    <w:name w:val="Header Char"/>
    <w:basedOn w:val="DefaultParagraphFont"/>
    <w:link w:val="Header"/>
    <w:uiPriority w:val="99"/>
    <w:rPr>
      <w:rFonts w:ascii="Times New Roman" w:eastAsia="Times New Roman" w:hAnsi="Times New Roman" w:cs="Times New Roman"/>
      <w:lang w:val="en-US" w:eastAsia="ar-SA"/>
    </w:rPr>
  </w:style>
  <w:style w:type="paragraph" w:customStyle="1" w:styleId="ANNEXheading">
    <w:name w:val="ANNEX heading"/>
    <w:basedOn w:val="Heading4"/>
    <w:pPr>
      <w:tabs>
        <w:tab w:val="clear" w:pos="0"/>
      </w:tabs>
    </w:pPr>
    <w:rPr>
      <w:color w:val="FFFFFF"/>
    </w:rPr>
  </w:style>
  <w:style w:type="paragraph" w:customStyle="1" w:styleId="TextBody">
    <w:name w:val="Text Body"/>
    <w:pPr>
      <w:widowControl w:val="0"/>
      <w:suppressAutoHyphens/>
    </w:pPr>
    <w:rPr>
      <w:rFonts w:ascii="Calibri" w:eastAsia="Arial Unicode MS" w:hAnsi="Calibri" w:cs="Arial Unicode MS"/>
      <w:lang w:eastAsia="hi-IN" w:bidi="hi-IN"/>
    </w:rPr>
  </w:style>
  <w:style w:type="character" w:styleId="Hyperlink">
    <w:name w:val="Hyperlink"/>
    <w:uiPriority w:val="99"/>
    <w:rPr>
      <w:rFonts w:cs="Times New Roman"/>
      <w:color w:val="0000FF"/>
      <w:u w:val="single"/>
    </w:rPr>
  </w:style>
  <w:style w:type="character" w:styleId="CommentReference">
    <w:name w:val="annotation reference"/>
    <w:semiHidden/>
    <w:unhideWhenUsed/>
    <w:rPr>
      <w:sz w:val="16"/>
      <w:szCs w:val="16"/>
    </w:rPr>
  </w:style>
  <w:style w:type="paragraph" w:styleId="CommentText">
    <w:name w:val="annotation text"/>
    <w:basedOn w:val="Normal"/>
    <w:link w:val="CommentTextChar"/>
    <w:uiPriority w:val="99"/>
    <w:unhideWhenUsed/>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US" w:eastAsia="ar-SA"/>
    </w:rPr>
  </w:style>
  <w:style w:type="paragraph" w:styleId="BalloonText">
    <w:name w:val="Balloon Text"/>
    <w:basedOn w:val="Normal"/>
    <w:link w:val="BalloonTextChar"/>
    <w:uiPriority w:val="99"/>
    <w:semiHidden/>
    <w:unhideWhenUsed/>
    <w:rPr>
      <w:rFonts w:ascii="Segoe UI" w:eastAsia="Times New Roman" w:hAnsi="Segoe UI" w:cs="Times New Roman"/>
      <w:sz w:val="18"/>
      <w:szCs w:val="18"/>
      <w:lang w:eastAsia="ar-SA"/>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lang w:val="en-US" w:eastAsia="ar-SA"/>
    </w:rPr>
  </w:style>
  <w:style w:type="paragraph" w:styleId="TOCHeading">
    <w:name w:val="TOC Heading"/>
    <w:basedOn w:val="Heading1"/>
    <w:next w:val="Normal"/>
    <w:uiPriority w:val="39"/>
    <w:unhideWhenUsed/>
    <w:qFormat/>
    <w:pPr>
      <w:keepLines/>
      <w:pageBreakBefore w:val="0"/>
      <w:numPr>
        <w:numId w:val="0"/>
      </w:numPr>
      <w:tabs>
        <w:tab w:val="num" w:pos="720"/>
      </w:tabs>
      <w:autoSpaceDE/>
      <w:autoSpaceDN/>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styleId="TOC1">
    <w:name w:val="toc 1"/>
    <w:basedOn w:val="Normal"/>
    <w:next w:val="Normal"/>
    <w:autoRedefine/>
    <w:uiPriority w:val="39"/>
    <w:unhideWhenUsed/>
    <w:rPr>
      <w:rFonts w:ascii="Times New Roman" w:eastAsia="Times New Roman" w:hAnsi="Times New Roman" w:cs="Times New Roman"/>
      <w:lang w:eastAsia="ar-SA"/>
    </w:rPr>
  </w:style>
  <w:style w:type="paragraph" w:styleId="TOC2">
    <w:name w:val="toc 2"/>
    <w:basedOn w:val="Normal"/>
    <w:next w:val="Normal"/>
    <w:autoRedefine/>
    <w:uiPriority w:val="39"/>
    <w:unhideWhenUsed/>
    <w:pPr>
      <w:ind w:left="240"/>
    </w:pPr>
    <w:rPr>
      <w:rFonts w:ascii="Times New Roman" w:eastAsia="Times New Roman" w:hAnsi="Times New Roman" w:cs="Times New Roman"/>
      <w:lang w:eastAsia="ar-SA"/>
    </w:rPr>
  </w:style>
  <w:style w:type="paragraph" w:styleId="TOC3">
    <w:name w:val="toc 3"/>
    <w:basedOn w:val="Normal"/>
    <w:next w:val="Normal"/>
    <w:autoRedefine/>
    <w:uiPriority w:val="39"/>
    <w:unhideWhenUsed/>
    <w:pPr>
      <w:ind w:left="480"/>
    </w:pPr>
    <w:rPr>
      <w:rFonts w:ascii="Times New Roman" w:eastAsia="Times New Roman" w:hAnsi="Times New Roman" w:cs="Times New Roman"/>
      <w:lang w:eastAsia="ar-SA"/>
    </w:rPr>
  </w:style>
  <w:style w:type="paragraph" w:styleId="FootnoteText">
    <w:name w:val="footnote text"/>
    <w:aliases w:val="Geneva 9,Font: Geneva 9,Boston 10,f,single space,Footnote,otnote Text,ft,fn,Footnotes,Footnote ak,Char Char Char Char,Fußnote,ADB Char Char,ADB Char Char Char,ADB Char Char Char Char Char Char Char,footnote text Char Char,AD,Fußnotentextr"/>
    <w:basedOn w:val="Normal"/>
    <w:link w:val="FootnoteTextChar"/>
    <w:uiPriority w:val="99"/>
    <w:unhideWhenUsed/>
    <w:rPr>
      <w:rFonts w:ascii="Calibri" w:eastAsia="Times New Roman" w:hAnsi="Calibri" w:cs="Times New Roman"/>
      <w:sz w:val="20"/>
      <w:szCs w:val="20"/>
      <w:lang w:val="x-none"/>
    </w:rPr>
  </w:style>
  <w:style w:type="character" w:customStyle="1" w:styleId="FootnoteTextChar">
    <w:name w:val="Footnote Text Char"/>
    <w:aliases w:val="Geneva 9 Char,Font: Geneva 9 Char,Boston 10 Char,f Char,single space Char,Footnote Char,otnote Text Char,ft Char,fn Char,Footnotes Char,Footnote ak Char,Char Char Char Char Char,Fußnote Char,ADB Char Char Char1,ADB Char Char Char Char"/>
    <w:basedOn w:val="DefaultParagraphFont"/>
    <w:link w:val="FootnoteText"/>
    <w:uiPriority w:val="99"/>
    <w:rPr>
      <w:rFonts w:ascii="Calibri" w:eastAsia="Times New Roman" w:hAnsi="Calibri" w:cs="Times New Roman"/>
      <w:sz w:val="20"/>
      <w:szCs w:val="20"/>
      <w:lang w:val="x-none"/>
    </w:rPr>
  </w:style>
  <w:style w:type="character" w:styleId="FootnoteReference">
    <w:name w:val="footnote reference"/>
    <w:aliases w:val="Ref,de nota al pie,number,SUPERS,BVI fnr,ftref,Char Char Char Char Car Char,16 Point,Superscript 6 Point,Footnote Reference Number,Footnote Reference_LVL6,Footnote Reference_LVL61,Footnote Reference_LVL62,Footnote Reference_LVL63,fr"/>
    <w:link w:val="CarattereCarattereCharCharCharCharCharCharZchn"/>
    <w:uiPriority w:val="99"/>
    <w:unhideWhenUsed/>
    <w:qFormat/>
    <w:rPr>
      <w:vertAlign w:val="superscript"/>
    </w:rPr>
  </w:style>
  <w:style w:type="paragraph" w:customStyle="1" w:styleId="Bulletlist2ndorder">
    <w:name w:val="Bullet list 2nd order"/>
    <w:basedOn w:val="Normal"/>
    <w:pPr>
      <w:widowControl w:val="0"/>
      <w:numPr>
        <w:ilvl w:val="1"/>
        <w:numId w:val="3"/>
      </w:numPr>
      <w:autoSpaceDE w:val="0"/>
      <w:autoSpaceDN w:val="0"/>
      <w:spacing w:after="60"/>
    </w:pPr>
    <w:rPr>
      <w:rFonts w:ascii="Tahoma" w:eastAsia="Times New Roman" w:hAnsi="Tahoma" w:cs="Tahoma"/>
      <w:sz w:val="22"/>
      <w:szCs w:val="22"/>
      <w:lang w:val="en-GB" w:eastAsia="de-DE"/>
    </w:rPr>
  </w:style>
  <w:style w:type="table" w:styleId="TableGrid">
    <w:name w:val="Table Grid"/>
    <w:aliases w:val="Zchn Zchn Char Zchn Char Zchn Char Zchn Char Zchn Char Zchn Char Zchn Char Zchn Char Zchn Zchn Char Zchn Zchn Char Zchn Zchn Char Zchn Zchn"/>
    <w:basedOn w:val="TableNormal"/>
    <w:uiPriority w:val="5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Pr>
      <w:rFonts w:ascii="Times New Roman" w:eastAsia="Times New Roman" w:hAnsi="Times New Roman" w:cs="Times New Roman"/>
      <w:lang w:eastAsia="ar-SA"/>
    </w:rPr>
  </w:style>
  <w:style w:type="paragraph" w:styleId="NormalWeb">
    <w:name w:val="Normal (Web)"/>
    <w:aliases w:val=" Carattere1,Carattere1"/>
    <w:basedOn w:val="Normal"/>
    <w:link w:val="NormalWebChar"/>
    <w:uiPriority w:val="99"/>
    <w:unhideWhenUsed/>
    <w:qFormat/>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Pr>
      <w:rFonts w:ascii="Calibri" w:eastAsia="Calibri" w:hAnsi="Calibri" w:cs="Times New Roman"/>
      <w:sz w:val="22"/>
      <w:szCs w:val="22"/>
    </w:rPr>
  </w:style>
  <w:style w:type="paragraph" w:customStyle="1" w:styleId="Default">
    <w:name w:val="Default"/>
    <w:pPr>
      <w:autoSpaceDE w:val="0"/>
      <w:autoSpaceDN w:val="0"/>
      <w:adjustRightInd w:val="0"/>
    </w:pPr>
    <w:rPr>
      <w:rFonts w:ascii="Arial" w:eastAsia="Calibri" w:hAnsi="Arial" w:cs="Arial"/>
      <w:color w:val="000000"/>
    </w:rPr>
  </w:style>
  <w:style w:type="paragraph" w:styleId="Revision">
    <w:name w:val="Revision"/>
    <w:hidden/>
    <w:uiPriority w:val="99"/>
    <w:semiHidden/>
    <w:rPr>
      <w:rFonts w:ascii="Times New Roman" w:eastAsia="Times New Roman" w:hAnsi="Times New Roman" w:cs="Times New Roman"/>
      <w:lang w:eastAsia="ar-SA"/>
    </w:rPr>
  </w:style>
  <w:style w:type="paragraph" w:styleId="EndnoteText">
    <w:name w:val="endnote text"/>
    <w:basedOn w:val="Normal"/>
    <w:link w:val="EndnoteTextChar"/>
    <w:uiPriority w:val="99"/>
    <w:semiHidden/>
    <w:unhideWhenUsed/>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val="en-US" w:eastAsia="ar-SA"/>
    </w:rPr>
  </w:style>
  <w:style w:type="character" w:styleId="EndnoteReference">
    <w:name w:val="endnote reference"/>
    <w:uiPriority w:val="99"/>
    <w:semiHidden/>
    <w:unhideWhenUsed/>
    <w:rPr>
      <w:vertAlign w:val="superscript"/>
    </w:rPr>
  </w:style>
  <w:style w:type="paragraph" w:styleId="ListParagraph">
    <w:name w:val="List Paragraph"/>
    <w:aliases w:val="Bullet Points,Liste Paragraf,List Paragraph1,Table/Figure Heading,Listeafsnit,List Paragraph (numbered (a)),WB Para,Akapit z listą BS,Tasks,Listenabsatz1,List Paragraph (bulleted list),Bullet 1 List,FooterText,Paragraphe de liste1,Bullets"/>
    <w:basedOn w:val="Normal"/>
    <w:link w:val="ListParagraphChar"/>
    <w:uiPriority w:val="34"/>
    <w:qFormat/>
    <w:pPr>
      <w:ind w:left="720"/>
      <w:contextualSpacing/>
      <w:jc w:val="both"/>
    </w:pPr>
    <w:rPr>
      <w:rFonts w:ascii="Times New Roman" w:eastAsia="Times New Roman" w:hAnsi="Times New Roman" w:cs="Times New Roman"/>
      <w:lang w:val="mk-MK" w:eastAsia="mk-MK"/>
    </w:rPr>
  </w:style>
  <w:style w:type="character" w:customStyle="1" w:styleId="ListParagraphChar">
    <w:name w:val="List Paragraph Char"/>
    <w:aliases w:val="Bullet Points Char,Liste Paragraf Char,List Paragraph1 Char,Table/Figure Heading Char,Listeafsnit Char,List Paragraph (numbered (a)) Char,WB Para Char,Akapit z listą BS Char,Tasks Char,Listenabsatz1 Char,Bullet 1 List Char"/>
    <w:link w:val="ListParagraph"/>
    <w:qFormat/>
    <w:rPr>
      <w:rFonts w:ascii="Times New Roman" w:eastAsia="Times New Roman" w:hAnsi="Times New Roman" w:cs="Times New Roman"/>
      <w:lang w:val="mk-MK" w:eastAsia="mk-MK"/>
    </w:rPr>
  </w:style>
  <w:style w:type="paragraph" w:customStyle="1" w:styleId="copytext">
    <w:name w:val="copytext"/>
    <w:basedOn w:val="Normal"/>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0"/>
      <w:szCs w:val="22"/>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0"/>
      <w:szCs w:val="22"/>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sz w:val="20"/>
      <w:szCs w:val="22"/>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pPr>
      <w:spacing w:after="240"/>
      <w:contextualSpacing/>
      <w:jc w:val="both"/>
    </w:pPr>
    <w:rPr>
      <w:rFonts w:asciiTheme="majorHAnsi" w:eastAsiaTheme="majorEastAsia" w:hAnsiTheme="majorHAnsi" w:cstheme="majorBidi"/>
      <w:b/>
      <w:color w:val="4472C4" w:themeColor="accent1"/>
      <w:spacing w:val="-10"/>
      <w:kern w:val="28"/>
      <w:sz w:val="32"/>
      <w:szCs w:val="56"/>
      <w:lang w:val="en-GB"/>
    </w:rPr>
  </w:style>
  <w:style w:type="character" w:customStyle="1" w:styleId="TitleChar">
    <w:name w:val="Title Char"/>
    <w:basedOn w:val="DefaultParagraphFont"/>
    <w:link w:val="Title"/>
    <w:uiPriority w:val="10"/>
    <w:rPr>
      <w:rFonts w:asciiTheme="majorHAnsi" w:eastAsiaTheme="majorEastAsia" w:hAnsiTheme="majorHAnsi" w:cstheme="majorBidi"/>
      <w:b/>
      <w:color w:val="4472C4" w:themeColor="accent1"/>
      <w:spacing w:val="-10"/>
      <w:kern w:val="28"/>
      <w:sz w:val="32"/>
      <w:szCs w:val="56"/>
      <w:lang w:val="en-GB"/>
    </w:rPr>
  </w:style>
  <w:style w:type="character" w:styleId="Strong">
    <w:name w:val="Strong"/>
    <w:basedOn w:val="DefaultParagraphFont"/>
    <w:uiPriority w:val="22"/>
    <w:qFormat/>
    <w:rPr>
      <w:b/>
      <w:bCs/>
    </w:rPr>
  </w:style>
  <w:style w:type="paragraph" w:customStyle="1" w:styleId="Bullet">
    <w:name w:val="Bullet"/>
    <w:basedOn w:val="BodyText"/>
    <w:qFormat/>
    <w:pPr>
      <w:numPr>
        <w:numId w:val="4"/>
      </w:numPr>
      <w:spacing w:line="276" w:lineRule="auto"/>
      <w:ind w:left="714" w:hanging="430"/>
      <w:contextualSpacing/>
      <w:jc w:val="both"/>
    </w:pPr>
    <w:rPr>
      <w:rFonts w:ascii="Calibri Light" w:eastAsia="Verdana" w:hAnsi="Calibri Light"/>
      <w:sz w:val="20"/>
      <w:szCs w:val="22"/>
      <w:lang w:val="en-US" w:eastAsia="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pPr>
      <w:spacing w:after="160" w:line="240" w:lineRule="exact"/>
    </w:pPr>
    <w:rPr>
      <w:vertAlign w:val="superscript"/>
    </w:rPr>
  </w:style>
  <w:style w:type="character" w:customStyle="1" w:styleId="NoSpacingChar">
    <w:name w:val="No Spacing Char"/>
    <w:basedOn w:val="DefaultParagraphFont"/>
    <w:link w:val="NoSpacing"/>
    <w:uiPriority w:val="1"/>
    <w:rPr>
      <w:rFonts w:ascii="Calibri" w:eastAsia="Calibri" w:hAnsi="Calibri" w:cs="Times New Roman"/>
      <w:sz w:val="22"/>
      <w:szCs w:val="22"/>
    </w:rPr>
  </w:style>
  <w:style w:type="character" w:styleId="PlaceholderText">
    <w:name w:val="Placeholder Text"/>
    <w:basedOn w:val="DefaultParagraphFont"/>
    <w:uiPriority w:val="99"/>
    <w:rPr>
      <w:color w:val="808080"/>
    </w:rPr>
  </w:style>
  <w:style w:type="paragraph" w:customStyle="1" w:styleId="CoverTitle">
    <w:name w:val="Cover Title"/>
    <w:basedOn w:val="NoSpacing"/>
    <w:qFormat/>
    <w:rPr>
      <w:rFonts w:asciiTheme="majorHAnsi" w:eastAsiaTheme="majorEastAsia" w:hAnsiTheme="majorHAnsi" w:cstheme="minorHAnsi"/>
      <w:b/>
      <w:bCs/>
      <w:caps/>
      <w:color w:val="FFFFFF" w:themeColor="background1"/>
      <w:sz w:val="72"/>
      <w:szCs w:val="72"/>
    </w:rPr>
  </w:style>
  <w:style w:type="paragraph" w:customStyle="1" w:styleId="CoverSubHeading">
    <w:name w:val="Cover Sub Heading"/>
    <w:basedOn w:val="Normal"/>
    <w:qFormat/>
    <w:pPr>
      <w:spacing w:after="200" w:line="276" w:lineRule="auto"/>
      <w:jc w:val="both"/>
    </w:pPr>
    <w:rPr>
      <w:rFonts w:asciiTheme="majorHAnsi" w:eastAsia="Verdana" w:hAnsiTheme="majorHAnsi" w:cs="Times New Roman"/>
      <w:noProof/>
      <w:sz w:val="20"/>
      <w:szCs w:val="22"/>
      <w:lang w:val="en-GB"/>
    </w:rPr>
  </w:style>
  <w:style w:type="paragraph" w:customStyle="1" w:styleId="CoverInformation">
    <w:name w:val="Cover Information"/>
    <w:basedOn w:val="CoverSubHeading"/>
    <w:qFormat/>
    <w:rPr>
      <w:rFonts w:ascii="Calibri Light" w:hAnsi="Calibri Light"/>
      <w:b/>
      <w:color w:val="FFFFFF" w:themeColor="background1"/>
      <w:sz w:val="28"/>
    </w:rPr>
  </w:style>
  <w:style w:type="character" w:customStyle="1" w:styleId="CaptionChar">
    <w:name w:val="Caption Char"/>
    <w:aliases w:val="Caption Char Char Char Char Char Char,Caption Char Char Char Char,Caption_Tabela Char,2 Char,Char1 Char,Map Char,Tabelle Char,Beschriftung Char Char,Beschriftung Char1 Char Char,Beschriftung Char Char Char Char Char"/>
    <w:link w:val="Caption"/>
    <w:locked/>
    <w:rPr>
      <w:rFonts w:ascii="Times New Roman" w:eastAsia="Times New Roman" w:hAnsi="Times New Roman" w:cs="Times New Roman"/>
      <w:i/>
      <w:iCs/>
      <w:lang w:eastAsia="ar-SA"/>
    </w:rPr>
  </w:style>
  <w:style w:type="paragraph" w:customStyle="1" w:styleId="AddressText">
    <w:name w:val="Address Text"/>
    <w:basedOn w:val="Caption"/>
    <w:pPr>
      <w:suppressLineNumbers w:val="0"/>
      <w:pBdr>
        <w:top w:val="single" w:sz="8" w:space="1" w:color="A5A5A5" w:themeColor="accent3"/>
      </w:pBdr>
      <w:spacing w:before="0" w:after="200"/>
      <w:contextualSpacing/>
      <w:jc w:val="both"/>
    </w:pPr>
    <w:rPr>
      <w:rFonts w:ascii="Calibri Light" w:eastAsia="Verdana" w:hAnsi="Calibri Light"/>
      <w:i w:val="0"/>
      <w:iCs w:val="0"/>
      <w:color w:val="44546A" w:themeColor="text2"/>
      <w:szCs w:val="18"/>
      <w:lang w:eastAsia="en-US"/>
    </w:rPr>
  </w:style>
  <w:style w:type="paragraph" w:customStyle="1" w:styleId="Backwebsite">
    <w:name w:val="Back website"/>
    <w:basedOn w:val="Title"/>
    <w:pPr>
      <w:jc w:val="center"/>
    </w:pPr>
    <w:rPr>
      <w:color w:val="FFFFFF" w:themeColor="background1"/>
    </w:rPr>
  </w:style>
  <w:style w:type="paragraph" w:customStyle="1" w:styleId="BackAddress">
    <w:name w:val="Back Address"/>
    <w:basedOn w:val="Backwebsite"/>
    <w:rPr>
      <w:sz w:val="28"/>
    </w:rPr>
  </w:style>
  <w:style w:type="paragraph" w:customStyle="1" w:styleId="LeadText">
    <w:name w:val="Lead Text"/>
    <w:basedOn w:val="Subtitle"/>
    <w:qFormat/>
    <w:pPr>
      <w:numPr>
        <w:ilvl w:val="1"/>
      </w:numPr>
      <w:suppressAutoHyphens w:val="0"/>
      <w:spacing w:after="200" w:line="276" w:lineRule="auto"/>
      <w:jc w:val="both"/>
    </w:pPr>
    <w:rPr>
      <w:rFonts w:ascii="Calibri Light" w:eastAsiaTheme="minorEastAsia" w:hAnsi="Calibri Light"/>
      <w:color w:val="44546A" w:themeColor="text2"/>
      <w:spacing w:val="15"/>
      <w:kern w:val="0"/>
      <w:sz w:val="26"/>
      <w:szCs w:val="22"/>
      <w:lang w:val="en-GB" w:eastAsia="en-US" w:bidi="ar-SA"/>
    </w:rPr>
  </w:style>
  <w:style w:type="paragraph" w:customStyle="1" w:styleId="CoverSubtitle">
    <w:name w:val="Cover Subtitle"/>
    <w:basedOn w:val="Normal"/>
    <w:qFormat/>
    <w:pPr>
      <w:spacing w:after="200" w:line="276" w:lineRule="auto"/>
      <w:jc w:val="both"/>
    </w:pPr>
    <w:rPr>
      <w:rFonts w:asciiTheme="majorHAnsi" w:eastAsia="Verdana" w:hAnsiTheme="majorHAnsi" w:cs="Times New Roman"/>
      <w:b/>
      <w:noProof/>
      <w:color w:val="A5A5A5" w:themeColor="accent3"/>
      <w:sz w:val="44"/>
      <w:szCs w:val="22"/>
      <w:lang w:val="en-GB"/>
    </w:rPr>
  </w:style>
  <w:style w:type="paragraph" w:customStyle="1" w:styleId="TItlecover">
    <w:name w:val="TItle cover"/>
    <w:basedOn w:val="Title"/>
    <w:qFormat/>
    <w:pPr>
      <w:pBdr>
        <w:bottom w:val="single" w:sz="8" w:space="4" w:color="FFFFFF" w:themeColor="background1"/>
      </w:pBdr>
      <w:spacing w:after="120"/>
    </w:pPr>
    <w:rPr>
      <w:rFonts w:eastAsia="Times New Roman" w:cs="Times New Roman"/>
      <w:caps/>
      <w:color w:val="FFFFFF" w:themeColor="background1"/>
      <w:spacing w:val="5"/>
      <w:sz w:val="40"/>
      <w:szCs w:val="52"/>
    </w:rPr>
  </w:style>
  <w:style w:type="paragraph" w:customStyle="1" w:styleId="Letterfooter">
    <w:name w:val="Letter footer"/>
    <w:qFormat/>
    <w:rPr>
      <w:rFonts w:eastAsiaTheme="majorEastAsia" w:cstheme="majorBidi"/>
      <w:kern w:val="28"/>
      <w:sz w:val="18"/>
      <w:szCs w:val="52"/>
      <w:lang w:val="sv-SE"/>
    </w:rPr>
  </w:style>
  <w:style w:type="character" w:customStyle="1" w:styleId="NormalWebChar">
    <w:name w:val="Normal (Web) Char"/>
    <w:aliases w:val=" Carattere1 Char,Carattere1 Char"/>
    <w:link w:val="NormalWeb"/>
    <w:uiPriority w:val="99"/>
    <w:rPr>
      <w:rFonts w:ascii="Times New Roman" w:eastAsia="Times New Roman" w:hAnsi="Times New Roman" w:cs="Times New Roman"/>
    </w:rPr>
  </w:style>
  <w:style w:type="character" w:customStyle="1" w:styleId="BodyTextIndent3Char">
    <w:name w:val="Body Text Indent 3 Char"/>
    <w:basedOn w:val="DefaultParagraphFont"/>
    <w:link w:val="BodyTextIndent3"/>
    <w:uiPriority w:val="99"/>
    <w:semiHidden/>
    <w:rPr>
      <w:rFonts w:asciiTheme="majorHAnsi" w:eastAsia="Verdana" w:hAnsiTheme="majorHAnsi" w:cs="Times New Roman"/>
      <w:sz w:val="16"/>
      <w:szCs w:val="16"/>
      <w:lang w:val="en-GB"/>
    </w:rPr>
  </w:style>
  <w:style w:type="paragraph" w:styleId="BodyTextIndent3">
    <w:name w:val="Body Text Indent 3"/>
    <w:basedOn w:val="Normal"/>
    <w:link w:val="BodyTextIndent3Char"/>
    <w:uiPriority w:val="99"/>
    <w:semiHidden/>
    <w:unhideWhenUsed/>
    <w:pPr>
      <w:spacing w:after="120" w:line="276" w:lineRule="auto"/>
      <w:ind w:left="283"/>
      <w:jc w:val="both"/>
    </w:pPr>
    <w:rPr>
      <w:rFonts w:asciiTheme="majorHAnsi" w:eastAsia="Verdana" w:hAnsiTheme="majorHAnsi" w:cs="Times New Roman"/>
      <w:sz w:val="16"/>
      <w:szCs w:val="16"/>
      <w:lang w:val="en-GB"/>
    </w:rPr>
  </w:style>
  <w:style w:type="character" w:customStyle="1" w:styleId="BodyTextIndent3Char1">
    <w:name w:val="Body Text Indent 3 Char1"/>
    <w:basedOn w:val="DefaultParagraphFont"/>
    <w:uiPriority w:val="99"/>
    <w:semiHidden/>
    <w:rPr>
      <w:sz w:val="16"/>
      <w:szCs w:val="16"/>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line="276" w:lineRule="auto"/>
      <w:ind w:left="864" w:right="864"/>
      <w:jc w:val="center"/>
    </w:pPr>
    <w:rPr>
      <w:rFonts w:asciiTheme="majorHAnsi" w:eastAsia="Verdana" w:hAnsiTheme="majorHAnsi" w:cs="Times New Roman"/>
      <w:i/>
      <w:iCs/>
      <w:color w:val="4472C4" w:themeColor="accent1"/>
      <w:sz w:val="20"/>
      <w:szCs w:val="22"/>
      <w:lang w:val="en-GB"/>
    </w:rPr>
  </w:style>
  <w:style w:type="character" w:customStyle="1" w:styleId="IntenseQuoteChar">
    <w:name w:val="Intense Quote Char"/>
    <w:basedOn w:val="DefaultParagraphFont"/>
    <w:link w:val="IntenseQuote"/>
    <w:uiPriority w:val="30"/>
    <w:rPr>
      <w:rFonts w:asciiTheme="majorHAnsi" w:eastAsia="Verdana" w:hAnsiTheme="majorHAnsi" w:cs="Times New Roman"/>
      <w:i/>
      <w:iCs/>
      <w:color w:val="4472C4" w:themeColor="accent1"/>
      <w:sz w:val="20"/>
      <w:szCs w:val="22"/>
      <w:lang w:val="en-GB"/>
    </w:rPr>
  </w:style>
  <w:style w:type="character" w:styleId="SubtleEmphasis">
    <w:name w:val="Subtle Emphasis"/>
    <w:basedOn w:val="DefaultParagraphFont"/>
    <w:uiPriority w:val="19"/>
    <w:qFormat/>
    <w:rPr>
      <w:i/>
      <w:iCs/>
      <w:color w:val="404040" w:themeColor="text1" w:themeTint="BF"/>
    </w:rPr>
  </w:style>
  <w:style w:type="paragraph" w:styleId="TOC4">
    <w:name w:val="toc 4"/>
    <w:basedOn w:val="Normal"/>
    <w:next w:val="Normal"/>
    <w:autoRedefine/>
    <w:uiPriority w:val="39"/>
    <w:unhideWhenUsed/>
    <w:pPr>
      <w:spacing w:after="100" w:line="259" w:lineRule="auto"/>
      <w:ind w:left="660"/>
    </w:pPr>
    <w:rPr>
      <w:rFonts w:eastAsiaTheme="minorEastAsia"/>
      <w:sz w:val="22"/>
      <w:szCs w:val="22"/>
      <w:lang w:val="en-GB"/>
    </w:rPr>
  </w:style>
  <w:style w:type="paragraph" w:styleId="TOC5">
    <w:name w:val="toc 5"/>
    <w:basedOn w:val="Normal"/>
    <w:next w:val="Normal"/>
    <w:autoRedefine/>
    <w:uiPriority w:val="39"/>
    <w:unhideWhenUsed/>
    <w:pPr>
      <w:spacing w:after="100" w:line="259" w:lineRule="auto"/>
      <w:ind w:left="880"/>
    </w:pPr>
    <w:rPr>
      <w:rFonts w:eastAsiaTheme="minorEastAsia"/>
      <w:sz w:val="22"/>
      <w:szCs w:val="22"/>
      <w:lang w:val="en-GB"/>
    </w:rPr>
  </w:style>
  <w:style w:type="paragraph" w:styleId="TOC6">
    <w:name w:val="toc 6"/>
    <w:basedOn w:val="Normal"/>
    <w:next w:val="Normal"/>
    <w:autoRedefine/>
    <w:uiPriority w:val="39"/>
    <w:unhideWhenUsed/>
    <w:pPr>
      <w:spacing w:after="100" w:line="259" w:lineRule="auto"/>
      <w:ind w:left="1100"/>
    </w:pPr>
    <w:rPr>
      <w:rFonts w:eastAsiaTheme="minorEastAsia"/>
      <w:sz w:val="22"/>
      <w:szCs w:val="22"/>
      <w:lang w:val="en-GB"/>
    </w:rPr>
  </w:style>
  <w:style w:type="paragraph" w:styleId="TOC7">
    <w:name w:val="toc 7"/>
    <w:basedOn w:val="Normal"/>
    <w:next w:val="Normal"/>
    <w:autoRedefine/>
    <w:uiPriority w:val="39"/>
    <w:unhideWhenUsed/>
    <w:pPr>
      <w:spacing w:after="100" w:line="259" w:lineRule="auto"/>
      <w:ind w:left="1320"/>
    </w:pPr>
    <w:rPr>
      <w:rFonts w:eastAsiaTheme="minorEastAsia"/>
      <w:sz w:val="22"/>
      <w:szCs w:val="22"/>
      <w:lang w:val="en-GB"/>
    </w:rPr>
  </w:style>
  <w:style w:type="paragraph" w:styleId="TOC8">
    <w:name w:val="toc 8"/>
    <w:basedOn w:val="Normal"/>
    <w:next w:val="Normal"/>
    <w:autoRedefine/>
    <w:uiPriority w:val="39"/>
    <w:unhideWhenUsed/>
    <w:pPr>
      <w:spacing w:after="100" w:line="259" w:lineRule="auto"/>
      <w:ind w:left="1540"/>
    </w:pPr>
    <w:rPr>
      <w:rFonts w:eastAsiaTheme="minorEastAsia"/>
      <w:sz w:val="22"/>
      <w:szCs w:val="22"/>
      <w:lang w:val="en-GB"/>
    </w:rPr>
  </w:style>
  <w:style w:type="paragraph" w:styleId="TOC9">
    <w:name w:val="toc 9"/>
    <w:basedOn w:val="Normal"/>
    <w:next w:val="Normal"/>
    <w:autoRedefine/>
    <w:uiPriority w:val="39"/>
    <w:unhideWhenUsed/>
    <w:pPr>
      <w:spacing w:after="100" w:line="259" w:lineRule="auto"/>
      <w:ind w:left="1760"/>
    </w:pPr>
    <w:rPr>
      <w:rFonts w:eastAsiaTheme="minorEastAsia"/>
      <w:sz w:val="22"/>
      <w:szCs w:val="22"/>
      <w:lang w:val="en-GB"/>
    </w:rPr>
  </w:style>
  <w:style w:type="paragraph" w:customStyle="1" w:styleId="ListmultiBullet1">
    <w:name w:val="List multi Bullet 1"/>
    <w:uiPriority w:val="5"/>
    <w:qFormat/>
    <w:pPr>
      <w:spacing w:after="120" w:line="276" w:lineRule="auto"/>
      <w:ind w:left="284" w:hanging="284"/>
    </w:pPr>
    <w:rPr>
      <w:rFonts w:ascii="Calibri" w:eastAsia="Calibri" w:hAnsi="Calibri" w:cs="Times New Roman"/>
      <w:sz w:val="22"/>
      <w:szCs w:val="22"/>
      <w:lang w:val="en-GB" w:eastAsia="hr-HR"/>
    </w:rPr>
  </w:style>
  <w:style w:type="paragraph" w:customStyle="1" w:styleId="ListmultiBullet2">
    <w:name w:val="List multi Bullet 2"/>
    <w:basedOn w:val="ListmultiBullet1"/>
    <w:uiPriority w:val="5"/>
    <w:qFormat/>
    <w:pPr>
      <w:numPr>
        <w:ilvl w:val="1"/>
      </w:numPr>
      <w:spacing w:after="60"/>
      <w:ind w:left="284" w:hanging="284"/>
    </w:pPr>
  </w:style>
  <w:style w:type="character" w:customStyle="1" w:styleId="apple-converted-space">
    <w:name w:val="apple-converted-space"/>
    <w:basedOn w:val="DefaultParagraphFont"/>
  </w:style>
  <w:style w:type="paragraph" w:customStyle="1" w:styleId="TableParagraph">
    <w:name w:val="Table Paragraph"/>
    <w:basedOn w:val="Normal"/>
    <w:uiPriority w:val="1"/>
    <w:qFormat/>
    <w:pPr>
      <w:widowControl w:val="0"/>
      <w:autoSpaceDE w:val="0"/>
      <w:autoSpaceDN w:val="0"/>
      <w:spacing w:before="23"/>
      <w:jc w:val="right"/>
    </w:pPr>
    <w:rPr>
      <w:rFonts w:ascii="Cambria" w:eastAsia="Cambria" w:hAnsi="Cambria" w:cs="Cambria"/>
      <w:sz w:val="22"/>
      <w:szCs w:val="22"/>
    </w:rPr>
  </w:style>
  <w:style w:type="paragraph" w:customStyle="1" w:styleId="Ind01">
    <w:name w:val="Ind 01"/>
    <w:basedOn w:val="Normal"/>
    <w:pPr>
      <w:spacing w:after="120"/>
      <w:ind w:left="2708" w:hanging="360"/>
      <w:jc w:val="both"/>
    </w:pPr>
    <w:rPr>
      <w:rFonts w:ascii="Arial" w:eastAsia="Times New Roman" w:hAnsi="Arial" w:cs="Times New Roman"/>
      <w:sz w:val="21"/>
      <w:szCs w:val="21"/>
      <w:lang w:val="en-GB"/>
    </w:rPr>
  </w:style>
  <w:style w:type="paragraph" w:customStyle="1" w:styleId="Indent01">
    <w:name w:val="Indent 01"/>
    <w:basedOn w:val="Ind01"/>
    <w:link w:val="Indent01Char"/>
    <w:qFormat/>
    <w:pPr>
      <w:spacing w:after="60"/>
      <w:ind w:left="360"/>
    </w:pPr>
    <w:rPr>
      <w:sz w:val="22"/>
      <w:szCs w:val="22"/>
    </w:rPr>
  </w:style>
  <w:style w:type="character" w:customStyle="1" w:styleId="Indent01Char">
    <w:name w:val="Indent 01 Char"/>
    <w:basedOn w:val="DefaultParagraphFont"/>
    <w:link w:val="Indent01"/>
    <w:rPr>
      <w:rFonts w:ascii="Arial" w:eastAsia="Times New Roman" w:hAnsi="Arial" w:cs="Times New Roman"/>
      <w:sz w:val="22"/>
      <w:szCs w:val="22"/>
      <w:lang w:val="en-GB"/>
    </w:rPr>
  </w:style>
  <w:style w:type="paragraph" w:styleId="ListBullet">
    <w:name w:val="List Bullet"/>
    <w:basedOn w:val="Normal"/>
    <w:uiPriority w:val="3"/>
    <w:unhideWhenUsed/>
    <w:qFormat/>
    <w:pPr>
      <w:spacing w:after="120" w:line="260" w:lineRule="atLeast"/>
      <w:ind w:left="340" w:hanging="340"/>
      <w:jc w:val="both"/>
    </w:pPr>
    <w:rPr>
      <w:rFonts w:ascii="Calibri" w:eastAsia="Times New Roman" w:hAnsi="Calibri" w:cs="Times New Roman"/>
      <w:sz w:val="22"/>
      <w:szCs w:val="18"/>
      <w:lang w:val="en-GB" w:eastAsia="da-DK"/>
    </w:rPr>
  </w:style>
  <w:style w:type="paragraph" w:customStyle="1" w:styleId="Normal-Supplementtitle">
    <w:name w:val="Normal - Supplement title"/>
    <w:basedOn w:val="Normal"/>
    <w:next w:val="Normal"/>
    <w:uiPriority w:val="2"/>
    <w:qFormat/>
    <w:pPr>
      <w:spacing w:after="120" w:line="280" w:lineRule="exact"/>
      <w:jc w:val="both"/>
      <w:outlineLvl w:val="7"/>
    </w:pPr>
    <w:rPr>
      <w:rFonts w:ascii="Calibri" w:eastAsia="Times New Roman" w:hAnsi="Calibri" w:cs="Times New Roman"/>
      <w:b/>
      <w:caps/>
      <w:color w:val="009DE0"/>
      <w:sz w:val="22"/>
      <w:szCs w:val="18"/>
      <w:lang w:val="en-GB" w:eastAsia="da-DK"/>
    </w:rPr>
  </w:style>
  <w:style w:type="paragraph" w:styleId="ListBullet2">
    <w:name w:val="List Bullet 2"/>
    <w:basedOn w:val="Normal"/>
    <w:semiHidden/>
    <w:pPr>
      <w:tabs>
        <w:tab w:val="num" w:pos="643"/>
      </w:tabs>
      <w:suppressAutoHyphens/>
      <w:spacing w:line="260" w:lineRule="atLeast"/>
      <w:ind w:left="643" w:hanging="360"/>
    </w:pPr>
    <w:rPr>
      <w:rFonts w:ascii="Verdana" w:eastAsia="Times New Roman" w:hAnsi="Verdana" w:cs="Times New Roman"/>
      <w:sz w:val="18"/>
      <w:szCs w:val="18"/>
      <w:lang w:val="en-GB"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annotation reference" w:uiPriority="0"/>
    <w:lsdException w:name="List" w:uiPriority="0"/>
    <w:lsdException w:name="List Bullet" w:uiPriority="3" w:qFormat="1"/>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pPr>
      <w:keepNext/>
      <w:pageBreakBefore/>
      <w:numPr>
        <w:numId w:val="1"/>
      </w:numPr>
      <w:tabs>
        <w:tab w:val="num" w:pos="454"/>
      </w:tabs>
      <w:autoSpaceDE w:val="0"/>
      <w:autoSpaceDN w:val="0"/>
      <w:spacing w:before="480" w:after="120"/>
      <w:ind w:left="432" w:hanging="432"/>
      <w:jc w:val="both"/>
      <w:outlineLvl w:val="0"/>
    </w:pPr>
    <w:rPr>
      <w:rFonts w:ascii="Calibri" w:eastAsia="Times New Roman" w:hAnsi="Calibri"/>
      <w:b/>
      <w:bCs/>
      <w:color w:val="000000"/>
      <w:sz w:val="40"/>
      <w:szCs w:val="40"/>
      <w:lang w:val="en-GB" w:eastAsia="x-none"/>
    </w:rPr>
  </w:style>
  <w:style w:type="paragraph" w:styleId="Heading2">
    <w:name w:val="heading 2"/>
    <w:aliases w:val="H 2 KEPA"/>
    <w:basedOn w:val="Heading1"/>
    <w:next w:val="BodyText"/>
    <w:link w:val="Heading2Char"/>
    <w:qFormat/>
    <w:pPr>
      <w:keepNext w:val="0"/>
      <w:pageBreakBefore w:val="0"/>
      <w:numPr>
        <w:numId w:val="0"/>
      </w:numPr>
      <w:tabs>
        <w:tab w:val="num" w:pos="0"/>
        <w:tab w:val="num" w:pos="720"/>
      </w:tabs>
      <w:suppressAutoHyphens/>
      <w:autoSpaceDE/>
      <w:autoSpaceDN/>
      <w:spacing w:before="0" w:after="180"/>
      <w:ind w:left="576" w:hanging="576"/>
      <w:jc w:val="left"/>
      <w:outlineLvl w:val="1"/>
    </w:pPr>
    <w:rPr>
      <w:rFonts w:eastAsia="ヒラギノ角ゴ Pro W3" w:cs="Times New Roman"/>
      <w:b w:val="0"/>
      <w:iCs/>
      <w:color w:val="193C6C"/>
      <w:kern w:val="1"/>
      <w:sz w:val="28"/>
      <w:szCs w:val="28"/>
      <w:lang w:val="en-US" w:eastAsia="hi-IN" w:bidi="hi-IN"/>
    </w:rPr>
  </w:style>
  <w:style w:type="paragraph" w:styleId="Heading3">
    <w:name w:val="heading 3"/>
    <w:aliases w:val="H 3 KEPA"/>
    <w:next w:val="BodyText"/>
    <w:link w:val="Heading3Char"/>
    <w:qFormat/>
    <w:pPr>
      <w:tabs>
        <w:tab w:val="num" w:pos="0"/>
      </w:tabs>
      <w:suppressAutoHyphens/>
      <w:spacing w:after="180"/>
      <w:jc w:val="center"/>
      <w:outlineLvl w:val="2"/>
    </w:pPr>
    <w:rPr>
      <w:rFonts w:ascii="Calibri" w:eastAsia="ヒラギノ角ゴ Pro W3" w:hAnsi="Calibri" w:cs="Times New Roman"/>
      <w:color w:val="000000"/>
      <w:kern w:val="1"/>
      <w:sz w:val="28"/>
      <w:szCs w:val="20"/>
      <w:lang w:eastAsia="hi-IN" w:bidi="hi-IN"/>
    </w:rPr>
  </w:style>
  <w:style w:type="paragraph" w:styleId="Heading4">
    <w:name w:val="heading 4"/>
    <w:next w:val="BodyText"/>
    <w:link w:val="Heading4Char"/>
    <w:qFormat/>
    <w:pPr>
      <w:keepNext/>
      <w:tabs>
        <w:tab w:val="num" w:pos="0"/>
      </w:tabs>
      <w:suppressAutoHyphens/>
      <w:snapToGrid w:val="0"/>
      <w:spacing w:after="180" w:line="312" w:lineRule="auto"/>
      <w:jc w:val="center"/>
      <w:outlineLvl w:val="3"/>
    </w:pPr>
    <w:rPr>
      <w:rFonts w:ascii="Calibri" w:eastAsia="ヒラギノ角ゴ Pro W3" w:hAnsi="Calibri" w:cs="Times New Roman"/>
      <w:b/>
      <w:bCs/>
      <w:color w:val="000000"/>
      <w:kern w:val="1"/>
      <w:sz w:val="18"/>
      <w:szCs w:val="18"/>
      <w:lang w:eastAsia="hi-IN" w:bidi="hi-IN"/>
    </w:rPr>
  </w:style>
  <w:style w:type="paragraph" w:styleId="Heading5">
    <w:name w:val="heading 5"/>
    <w:basedOn w:val="Normal"/>
    <w:next w:val="Normal"/>
    <w:link w:val="Heading5Char"/>
    <w:uiPriority w:val="9"/>
    <w:semiHidden/>
    <w:unhideWhenUsed/>
    <w:pPr>
      <w:keepNext/>
      <w:keepLines/>
      <w:spacing w:before="40" w:line="276" w:lineRule="auto"/>
      <w:ind w:left="1008" w:hanging="1008"/>
      <w:jc w:val="both"/>
      <w:outlineLvl w:val="4"/>
    </w:pPr>
    <w:rPr>
      <w:rFonts w:asciiTheme="majorHAnsi" w:eastAsiaTheme="majorEastAsia" w:hAnsiTheme="majorHAnsi" w:cstheme="majorBidi"/>
      <w:color w:val="2F5496" w:themeColor="accent1" w:themeShade="BF"/>
      <w:sz w:val="20"/>
      <w:szCs w:val="22"/>
      <w:lang w:val="en-GB"/>
    </w:rPr>
  </w:style>
  <w:style w:type="paragraph" w:styleId="Heading6">
    <w:name w:val="heading 6"/>
    <w:basedOn w:val="Normal"/>
    <w:next w:val="Normal"/>
    <w:link w:val="Heading6Char"/>
    <w:uiPriority w:val="9"/>
    <w:semiHidden/>
    <w:unhideWhenUsed/>
    <w:qFormat/>
    <w:pPr>
      <w:keepNext/>
      <w:keepLines/>
      <w:spacing w:before="40" w:line="276" w:lineRule="auto"/>
      <w:ind w:left="1152" w:hanging="1152"/>
      <w:jc w:val="both"/>
      <w:outlineLvl w:val="5"/>
    </w:pPr>
    <w:rPr>
      <w:rFonts w:asciiTheme="majorHAnsi" w:eastAsiaTheme="majorEastAsia" w:hAnsiTheme="majorHAnsi" w:cstheme="majorBidi"/>
      <w:color w:val="1F3763" w:themeColor="accent1" w:themeShade="7F"/>
      <w:sz w:val="20"/>
      <w:szCs w:val="22"/>
      <w:lang w:val="en-GB"/>
    </w:rPr>
  </w:style>
  <w:style w:type="paragraph" w:styleId="Heading7">
    <w:name w:val="heading 7"/>
    <w:basedOn w:val="Normal"/>
    <w:next w:val="Normal"/>
    <w:link w:val="Heading7Char"/>
    <w:uiPriority w:val="9"/>
    <w:semiHidden/>
    <w:unhideWhenUsed/>
    <w:qFormat/>
    <w:pPr>
      <w:keepNext/>
      <w:keepLines/>
      <w:spacing w:before="40" w:line="276" w:lineRule="auto"/>
      <w:ind w:left="1296" w:hanging="1296"/>
      <w:jc w:val="both"/>
      <w:outlineLvl w:val="6"/>
    </w:pPr>
    <w:rPr>
      <w:rFonts w:asciiTheme="majorHAnsi" w:eastAsiaTheme="majorEastAsia" w:hAnsiTheme="majorHAnsi" w:cstheme="majorBidi"/>
      <w:i/>
      <w:iCs/>
      <w:color w:val="1F3763" w:themeColor="accent1" w:themeShade="7F"/>
      <w:sz w:val="20"/>
      <w:szCs w:val="22"/>
      <w:lang w:val="en-GB"/>
    </w:rPr>
  </w:style>
  <w:style w:type="paragraph" w:styleId="Heading8">
    <w:name w:val="heading 8"/>
    <w:basedOn w:val="Normal"/>
    <w:next w:val="Normal"/>
    <w:link w:val="Heading8Char"/>
    <w:uiPriority w:val="9"/>
    <w:semiHidden/>
    <w:unhideWhenUsed/>
    <w:qFormat/>
    <w:pPr>
      <w:keepNext/>
      <w:keepLines/>
      <w:spacing w:before="40" w:line="276" w:lineRule="auto"/>
      <w:ind w:left="1440" w:hanging="144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pPr>
      <w:keepNext/>
      <w:keepLines/>
      <w:spacing w:before="40" w:line="276" w:lineRule="auto"/>
      <w:ind w:left="1584" w:hanging="1584"/>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Times New Roman" w:hAnsi="Calibri"/>
      <w:b/>
      <w:bCs/>
      <w:color w:val="000000"/>
      <w:sz w:val="40"/>
      <w:szCs w:val="40"/>
      <w:lang w:val="en-GB" w:eastAsia="x-none"/>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character" w:customStyle="1" w:styleId="Heading2Char">
    <w:name w:val="Heading 2 Char"/>
    <w:aliases w:val="H 2 KEPA Char"/>
    <w:basedOn w:val="DefaultParagraphFont"/>
    <w:link w:val="Heading2"/>
    <w:rPr>
      <w:rFonts w:ascii="Calibri" w:eastAsia="ヒラギノ角ゴ Pro W3" w:hAnsi="Calibri" w:cs="Times New Roman"/>
      <w:bCs/>
      <w:iCs/>
      <w:color w:val="193C6C"/>
      <w:kern w:val="1"/>
      <w:sz w:val="28"/>
      <w:szCs w:val="28"/>
      <w:lang w:val="en-US" w:eastAsia="hi-IN" w:bidi="hi-IN"/>
    </w:rPr>
  </w:style>
  <w:style w:type="character" w:customStyle="1" w:styleId="Heading3Char">
    <w:name w:val="Heading 3 Char"/>
    <w:aliases w:val="H 3 KEPA Char"/>
    <w:basedOn w:val="DefaultParagraphFont"/>
    <w:link w:val="Heading3"/>
    <w:rPr>
      <w:rFonts w:ascii="Calibri" w:eastAsia="ヒラギノ角ゴ Pro W3" w:hAnsi="Calibri" w:cs="Times New Roman"/>
      <w:color w:val="000000"/>
      <w:kern w:val="1"/>
      <w:sz w:val="28"/>
      <w:szCs w:val="20"/>
      <w:lang w:val="en-US" w:eastAsia="hi-IN" w:bidi="hi-IN"/>
    </w:rPr>
  </w:style>
  <w:style w:type="character" w:customStyle="1" w:styleId="Heading4Char">
    <w:name w:val="Heading 4 Char"/>
    <w:basedOn w:val="DefaultParagraphFont"/>
    <w:link w:val="Heading4"/>
    <w:rPr>
      <w:rFonts w:ascii="Calibri" w:eastAsia="ヒラギノ角ゴ Pro W3" w:hAnsi="Calibri" w:cs="Times New Roman"/>
      <w:b/>
      <w:bCs/>
      <w:color w:val="000000"/>
      <w:kern w:val="1"/>
      <w:sz w:val="18"/>
      <w:szCs w:val="18"/>
      <w:lang w:val="en-US" w:eastAsia="hi-IN" w:bidi="hi-IN"/>
    </w:rPr>
  </w:style>
  <w:style w:type="paragraph" w:styleId="BodyText">
    <w:name w:val="Body Text"/>
    <w:basedOn w:val="Normal"/>
    <w:link w:val="BodyTextChar"/>
    <w:qFormat/>
    <w:pPr>
      <w:spacing w:after="120"/>
    </w:pPr>
    <w:rPr>
      <w:rFonts w:ascii="Times New Roman" w:eastAsia="Times New Roman" w:hAnsi="Times New Roman" w:cs="Times New Roman"/>
      <w:lang w:val="x-none" w:eastAsia="ar-SA"/>
    </w:rPr>
  </w:style>
  <w:style w:type="character" w:customStyle="1" w:styleId="BodyTextChar">
    <w:name w:val="Body Text Char"/>
    <w:basedOn w:val="DefaultParagraphFont"/>
    <w:link w:val="BodyText"/>
    <w:rPr>
      <w:rFonts w:ascii="Times New Roman" w:eastAsia="Times New Roman" w:hAnsi="Times New Roman" w:cs="Times New Roman"/>
      <w:lang w:val="x-none" w:eastAsia="ar-SA"/>
    </w:rPr>
  </w:style>
  <w:style w:type="character" w:customStyle="1" w:styleId="WW8Num2z0">
    <w:name w:val="WW8Num2z0"/>
    <w:rPr>
      <w:position w:val="0"/>
      <w:sz w:val="24"/>
      <w:vertAlign w:val="baseline"/>
    </w:rPr>
  </w:style>
  <w:style w:type="character" w:customStyle="1" w:styleId="Absatz-Standardschriftart">
    <w:name w:val="Absatz-Standardschriftart"/>
  </w:style>
  <w:style w:type="character" w:customStyle="1" w:styleId="WW8Num1z0">
    <w:name w:val="WW8Num1z0"/>
    <w:rPr>
      <w:position w:val="0"/>
      <w:sz w:val="24"/>
      <w:vertAlign w:val="baseline"/>
    </w:rPr>
  </w:style>
  <w:style w:type="character" w:customStyle="1" w:styleId="DefaultParagraphFont1">
    <w:name w:val="Default Paragraph Font1"/>
  </w:style>
  <w:style w:type="paragraph" w:customStyle="1" w:styleId="Heading">
    <w:name w:val="Heading"/>
    <w:basedOn w:val="Normal"/>
    <w:next w:val="BodyText"/>
    <w:pPr>
      <w:keepNext/>
      <w:spacing w:before="240" w:after="120"/>
    </w:pPr>
    <w:rPr>
      <w:rFonts w:ascii="Arial" w:eastAsia="Arial Unicode MS" w:hAnsi="Arial" w:cs="Arial Unicode MS"/>
      <w:sz w:val="28"/>
      <w:szCs w:val="28"/>
      <w:lang w:eastAsia="ar-SA"/>
    </w:rPr>
  </w:style>
  <w:style w:type="paragraph" w:styleId="List">
    <w:name w:val="List"/>
    <w:basedOn w:val="BodyText"/>
  </w:style>
  <w:style w:type="paragraph" w:styleId="Caption">
    <w:name w:val="caption"/>
    <w:aliases w:val="Caption Char Char Char Char Char,Caption Char Char Char,Caption_Tabela,2,Char1,Map,Tabelle,Beschriftung Char,Beschriftung Char1 Char,Beschriftung Char Char Char Char,Beschriftung Char Char1,Beschriftung Char1 Char Char Char Char"/>
    <w:basedOn w:val="Normal"/>
    <w:link w:val="CaptionChar"/>
    <w:qFormat/>
    <w:pPr>
      <w:suppressLineNumbers/>
      <w:spacing w:before="120" w:after="120"/>
    </w:pPr>
    <w:rPr>
      <w:rFonts w:ascii="Times New Roman" w:eastAsia="Times New Roman" w:hAnsi="Times New Roman" w:cs="Times New Roman"/>
      <w:i/>
      <w:iCs/>
      <w:lang w:eastAsia="ar-SA"/>
    </w:rPr>
  </w:style>
  <w:style w:type="paragraph" w:customStyle="1" w:styleId="Index">
    <w:name w:val="Index"/>
    <w:basedOn w:val="Normal"/>
    <w:pPr>
      <w:suppressLineNumbers/>
    </w:pPr>
    <w:rPr>
      <w:rFonts w:ascii="Times New Roman" w:eastAsia="Times New Roman" w:hAnsi="Times New Roman" w:cs="Times New Roman"/>
      <w:lang w:eastAsia="ar-SA"/>
    </w:rPr>
  </w:style>
  <w:style w:type="paragraph" w:customStyle="1" w:styleId="HeaderFooter">
    <w:name w:val="Header &amp; Footer"/>
    <w:pPr>
      <w:suppressAutoHyphens/>
      <w:spacing w:after="180" w:line="312" w:lineRule="auto"/>
    </w:pPr>
    <w:rPr>
      <w:rFonts w:ascii="Calibri" w:eastAsia="ヒラギノ角ゴ Pro W3" w:hAnsi="Calibri" w:cs="Times New Roman"/>
      <w:color w:val="1A3B67"/>
      <w:kern w:val="1"/>
      <w:sz w:val="22"/>
      <w:szCs w:val="20"/>
      <w:lang w:eastAsia="hi-IN" w:bidi="hi-IN"/>
    </w:rPr>
  </w:style>
  <w:style w:type="paragraph" w:customStyle="1" w:styleId="CompanyAddress">
    <w:name w:val="Company Address"/>
    <w:pPr>
      <w:spacing w:line="288" w:lineRule="auto"/>
      <w:jc w:val="center"/>
    </w:pPr>
    <w:rPr>
      <w:rFonts w:ascii="Calibri" w:eastAsia="ヒラギノ角ゴ Pro W3" w:hAnsi="Calibri" w:cs="Times New Roman"/>
      <w:color w:val="000000"/>
      <w:kern w:val="1"/>
      <w:sz w:val="22"/>
      <w:szCs w:val="20"/>
      <w:lang w:eastAsia="hi-IN" w:bidi="hi-IN"/>
    </w:rPr>
  </w:style>
  <w:style w:type="paragraph" w:customStyle="1" w:styleId="Reporttitle">
    <w:name w:val="Report title"/>
    <w:pPr>
      <w:suppressAutoHyphens/>
      <w:spacing w:after="180"/>
      <w:jc w:val="center"/>
    </w:pPr>
    <w:rPr>
      <w:rFonts w:ascii="Calibri" w:eastAsia="ヒラギノ角ゴ Pro W3" w:hAnsi="Calibri" w:cs="Times New Roman"/>
      <w:color w:val="193C6C"/>
      <w:kern w:val="1"/>
      <w:sz w:val="72"/>
      <w:szCs w:val="20"/>
      <w:lang w:eastAsia="hi-IN" w:bidi="hi-IN"/>
    </w:rPr>
  </w:style>
  <w:style w:type="paragraph" w:styleId="Subtitle">
    <w:name w:val="Subtitle"/>
    <w:next w:val="BodyText"/>
    <w:link w:val="SubtitleChar"/>
    <w:qFormat/>
    <w:pPr>
      <w:suppressAutoHyphens/>
      <w:spacing w:after="180"/>
      <w:jc w:val="center"/>
    </w:pPr>
    <w:rPr>
      <w:rFonts w:ascii="Calibri" w:eastAsia="ヒラギノ角ゴ Pro W3" w:hAnsi="Calibri" w:cs="Times New Roman"/>
      <w:color w:val="193C6C"/>
      <w:kern w:val="1"/>
      <w:sz w:val="36"/>
      <w:szCs w:val="20"/>
      <w:lang w:eastAsia="hi-IN" w:bidi="hi-IN"/>
    </w:rPr>
  </w:style>
  <w:style w:type="character" w:customStyle="1" w:styleId="SubtitleChar">
    <w:name w:val="Subtitle Char"/>
    <w:basedOn w:val="DefaultParagraphFont"/>
    <w:link w:val="Subtitle"/>
    <w:rPr>
      <w:rFonts w:ascii="Calibri" w:eastAsia="ヒラギノ角ゴ Pro W3" w:hAnsi="Calibri" w:cs="Times New Roman"/>
      <w:color w:val="193C6C"/>
      <w:kern w:val="1"/>
      <w:sz w:val="36"/>
      <w:szCs w:val="20"/>
      <w:lang w:val="en-US" w:eastAsia="hi-IN" w:bidi="hi-IN"/>
    </w:rPr>
  </w:style>
  <w:style w:type="paragraph" w:customStyle="1" w:styleId="FreeForm">
    <w:name w:val="Free Form"/>
    <w:pPr>
      <w:spacing w:line="312" w:lineRule="auto"/>
    </w:pPr>
    <w:rPr>
      <w:rFonts w:ascii="Helvetica Neue Light" w:eastAsia="ヒラギノ角ゴ Pro W3" w:hAnsi="Helvetica Neue Light" w:cs="Times New Roman"/>
      <w:color w:val="000000"/>
      <w:kern w:val="1"/>
      <w:sz w:val="18"/>
      <w:szCs w:val="20"/>
      <w:lang w:eastAsia="hi-IN" w:bidi="hi-IN"/>
    </w:rPr>
  </w:style>
  <w:style w:type="paragraph" w:customStyle="1" w:styleId="ContentsHeading">
    <w:name w:val="Contents Heading"/>
    <w:pPr>
      <w:suppressAutoHyphens/>
      <w:spacing w:after="180"/>
      <w:jc w:val="center"/>
    </w:pPr>
    <w:rPr>
      <w:rFonts w:ascii="Calibri" w:eastAsia="ヒラギノ角ゴ Pro W3" w:hAnsi="Calibri" w:cs="Times New Roman"/>
      <w:color w:val="193C6C"/>
      <w:kern w:val="1"/>
      <w:sz w:val="36"/>
      <w:szCs w:val="20"/>
      <w:lang w:eastAsia="hi-IN" w:bidi="hi-IN"/>
    </w:rPr>
  </w:style>
  <w:style w:type="paragraph" w:customStyle="1" w:styleId="Contents">
    <w:name w:val="Contents"/>
    <w:pPr>
      <w:suppressAutoHyphens/>
      <w:spacing w:after="180"/>
      <w:jc w:val="both"/>
    </w:pPr>
    <w:rPr>
      <w:rFonts w:ascii="Calibri" w:eastAsia="ヒラギノ角ゴ Pro W3" w:hAnsi="Calibri" w:cs="Times New Roman"/>
      <w:color w:val="000000"/>
      <w:kern w:val="1"/>
      <w:sz w:val="28"/>
      <w:szCs w:val="20"/>
      <w:lang w:eastAsia="hi-IN" w:bidi="hi-IN"/>
    </w:rPr>
  </w:style>
  <w:style w:type="paragraph" w:customStyle="1" w:styleId="BodyBullet">
    <w:name w:val="Body Bullet"/>
    <w:pPr>
      <w:suppressAutoHyphens/>
      <w:spacing w:line="312" w:lineRule="auto"/>
    </w:pPr>
    <w:rPr>
      <w:rFonts w:ascii="Calibri" w:eastAsia="ヒラギノ角ゴ Pro W3" w:hAnsi="Calibri" w:cs="Times New Roman"/>
      <w:color w:val="000000"/>
      <w:kern w:val="1"/>
      <w:sz w:val="28"/>
      <w:szCs w:val="20"/>
      <w:lang w:eastAsia="hi-IN" w:bidi="hi-IN"/>
    </w:rPr>
  </w:style>
  <w:style w:type="paragraph" w:customStyle="1" w:styleId="TableContents">
    <w:name w:val="Table Contents"/>
    <w:basedOn w:val="Normal"/>
    <w:pPr>
      <w:suppressLineNumbers/>
    </w:pPr>
    <w:rPr>
      <w:rFonts w:ascii="Times New Roman" w:eastAsia="Times New Roman" w:hAnsi="Times New Roman" w:cs="Times New Roman"/>
      <w:lang w:eastAsia="ar-SA"/>
    </w:r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rPr>
      <w:rFonts w:ascii="Times New Roman" w:eastAsia="Times New Roman" w:hAnsi="Times New Roman" w:cs="Times New Roman"/>
      <w:lang w:eastAsia="ar-SA"/>
    </w:rPr>
  </w:style>
  <w:style w:type="character" w:customStyle="1" w:styleId="HeaderChar">
    <w:name w:val="Header Char"/>
    <w:basedOn w:val="DefaultParagraphFont"/>
    <w:link w:val="Header"/>
    <w:uiPriority w:val="99"/>
    <w:rPr>
      <w:rFonts w:ascii="Times New Roman" w:eastAsia="Times New Roman" w:hAnsi="Times New Roman" w:cs="Times New Roman"/>
      <w:lang w:val="en-US" w:eastAsia="ar-SA"/>
    </w:rPr>
  </w:style>
  <w:style w:type="paragraph" w:customStyle="1" w:styleId="ANNEXheading">
    <w:name w:val="ANNEX heading"/>
    <w:basedOn w:val="Heading4"/>
    <w:pPr>
      <w:tabs>
        <w:tab w:val="clear" w:pos="0"/>
      </w:tabs>
    </w:pPr>
    <w:rPr>
      <w:color w:val="FFFFFF"/>
    </w:rPr>
  </w:style>
  <w:style w:type="paragraph" w:customStyle="1" w:styleId="TextBody">
    <w:name w:val="Text Body"/>
    <w:pPr>
      <w:widowControl w:val="0"/>
      <w:suppressAutoHyphens/>
    </w:pPr>
    <w:rPr>
      <w:rFonts w:ascii="Calibri" w:eastAsia="Arial Unicode MS" w:hAnsi="Calibri" w:cs="Arial Unicode MS"/>
      <w:lang w:eastAsia="hi-IN" w:bidi="hi-IN"/>
    </w:rPr>
  </w:style>
  <w:style w:type="character" w:styleId="Hyperlink">
    <w:name w:val="Hyperlink"/>
    <w:uiPriority w:val="99"/>
    <w:rPr>
      <w:rFonts w:cs="Times New Roman"/>
      <w:color w:val="0000FF"/>
      <w:u w:val="single"/>
    </w:rPr>
  </w:style>
  <w:style w:type="character" w:styleId="CommentReference">
    <w:name w:val="annotation reference"/>
    <w:semiHidden/>
    <w:unhideWhenUsed/>
    <w:rPr>
      <w:sz w:val="16"/>
      <w:szCs w:val="16"/>
    </w:rPr>
  </w:style>
  <w:style w:type="paragraph" w:styleId="CommentText">
    <w:name w:val="annotation text"/>
    <w:basedOn w:val="Normal"/>
    <w:link w:val="CommentTextChar"/>
    <w:uiPriority w:val="99"/>
    <w:unhideWhenUsed/>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US" w:eastAsia="ar-SA"/>
    </w:rPr>
  </w:style>
  <w:style w:type="paragraph" w:styleId="BalloonText">
    <w:name w:val="Balloon Text"/>
    <w:basedOn w:val="Normal"/>
    <w:link w:val="BalloonTextChar"/>
    <w:uiPriority w:val="99"/>
    <w:semiHidden/>
    <w:unhideWhenUsed/>
    <w:rPr>
      <w:rFonts w:ascii="Segoe UI" w:eastAsia="Times New Roman" w:hAnsi="Segoe UI" w:cs="Times New Roman"/>
      <w:sz w:val="18"/>
      <w:szCs w:val="18"/>
      <w:lang w:eastAsia="ar-SA"/>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lang w:val="en-US" w:eastAsia="ar-SA"/>
    </w:rPr>
  </w:style>
  <w:style w:type="paragraph" w:styleId="TOCHeading">
    <w:name w:val="TOC Heading"/>
    <w:basedOn w:val="Heading1"/>
    <w:next w:val="Normal"/>
    <w:uiPriority w:val="39"/>
    <w:unhideWhenUsed/>
    <w:qFormat/>
    <w:pPr>
      <w:keepLines/>
      <w:pageBreakBefore w:val="0"/>
      <w:numPr>
        <w:numId w:val="0"/>
      </w:numPr>
      <w:tabs>
        <w:tab w:val="num" w:pos="720"/>
      </w:tabs>
      <w:autoSpaceDE/>
      <w:autoSpaceDN/>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styleId="TOC1">
    <w:name w:val="toc 1"/>
    <w:basedOn w:val="Normal"/>
    <w:next w:val="Normal"/>
    <w:autoRedefine/>
    <w:uiPriority w:val="39"/>
    <w:unhideWhenUsed/>
    <w:rPr>
      <w:rFonts w:ascii="Times New Roman" w:eastAsia="Times New Roman" w:hAnsi="Times New Roman" w:cs="Times New Roman"/>
      <w:lang w:eastAsia="ar-SA"/>
    </w:rPr>
  </w:style>
  <w:style w:type="paragraph" w:styleId="TOC2">
    <w:name w:val="toc 2"/>
    <w:basedOn w:val="Normal"/>
    <w:next w:val="Normal"/>
    <w:autoRedefine/>
    <w:uiPriority w:val="39"/>
    <w:unhideWhenUsed/>
    <w:pPr>
      <w:ind w:left="240"/>
    </w:pPr>
    <w:rPr>
      <w:rFonts w:ascii="Times New Roman" w:eastAsia="Times New Roman" w:hAnsi="Times New Roman" w:cs="Times New Roman"/>
      <w:lang w:eastAsia="ar-SA"/>
    </w:rPr>
  </w:style>
  <w:style w:type="paragraph" w:styleId="TOC3">
    <w:name w:val="toc 3"/>
    <w:basedOn w:val="Normal"/>
    <w:next w:val="Normal"/>
    <w:autoRedefine/>
    <w:uiPriority w:val="39"/>
    <w:unhideWhenUsed/>
    <w:pPr>
      <w:ind w:left="480"/>
    </w:pPr>
    <w:rPr>
      <w:rFonts w:ascii="Times New Roman" w:eastAsia="Times New Roman" w:hAnsi="Times New Roman" w:cs="Times New Roman"/>
      <w:lang w:eastAsia="ar-SA"/>
    </w:rPr>
  </w:style>
  <w:style w:type="paragraph" w:styleId="FootnoteText">
    <w:name w:val="footnote text"/>
    <w:aliases w:val="Geneva 9,Font: Geneva 9,Boston 10,f,single space,Footnote,otnote Text,ft,fn,Footnotes,Footnote ak,Char Char Char Char,Fußnote,ADB Char Char,ADB Char Char Char,ADB Char Char Char Char Char Char Char,footnote text Char Char,AD,Fußnotentextr"/>
    <w:basedOn w:val="Normal"/>
    <w:link w:val="FootnoteTextChar"/>
    <w:uiPriority w:val="99"/>
    <w:unhideWhenUsed/>
    <w:rPr>
      <w:rFonts w:ascii="Calibri" w:eastAsia="Times New Roman" w:hAnsi="Calibri" w:cs="Times New Roman"/>
      <w:sz w:val="20"/>
      <w:szCs w:val="20"/>
      <w:lang w:val="x-none"/>
    </w:rPr>
  </w:style>
  <w:style w:type="character" w:customStyle="1" w:styleId="FootnoteTextChar">
    <w:name w:val="Footnote Text Char"/>
    <w:aliases w:val="Geneva 9 Char,Font: Geneva 9 Char,Boston 10 Char,f Char,single space Char,Footnote Char,otnote Text Char,ft Char,fn Char,Footnotes Char,Footnote ak Char,Char Char Char Char Char,Fußnote Char,ADB Char Char Char1,ADB Char Char Char Char"/>
    <w:basedOn w:val="DefaultParagraphFont"/>
    <w:link w:val="FootnoteText"/>
    <w:uiPriority w:val="99"/>
    <w:rPr>
      <w:rFonts w:ascii="Calibri" w:eastAsia="Times New Roman" w:hAnsi="Calibri" w:cs="Times New Roman"/>
      <w:sz w:val="20"/>
      <w:szCs w:val="20"/>
      <w:lang w:val="x-none"/>
    </w:rPr>
  </w:style>
  <w:style w:type="character" w:styleId="FootnoteReference">
    <w:name w:val="footnote reference"/>
    <w:aliases w:val="Ref,de nota al pie,number,SUPERS,BVI fnr,ftref,Char Char Char Char Car Char,16 Point,Superscript 6 Point,Footnote Reference Number,Footnote Reference_LVL6,Footnote Reference_LVL61,Footnote Reference_LVL62,Footnote Reference_LVL63,fr"/>
    <w:link w:val="CarattereCarattereCharCharCharCharCharCharZchn"/>
    <w:uiPriority w:val="99"/>
    <w:unhideWhenUsed/>
    <w:qFormat/>
    <w:rPr>
      <w:vertAlign w:val="superscript"/>
    </w:rPr>
  </w:style>
  <w:style w:type="paragraph" w:customStyle="1" w:styleId="Bulletlist2ndorder">
    <w:name w:val="Bullet list 2nd order"/>
    <w:basedOn w:val="Normal"/>
    <w:pPr>
      <w:widowControl w:val="0"/>
      <w:numPr>
        <w:ilvl w:val="1"/>
        <w:numId w:val="3"/>
      </w:numPr>
      <w:autoSpaceDE w:val="0"/>
      <w:autoSpaceDN w:val="0"/>
      <w:spacing w:after="60"/>
    </w:pPr>
    <w:rPr>
      <w:rFonts w:ascii="Tahoma" w:eastAsia="Times New Roman" w:hAnsi="Tahoma" w:cs="Tahoma"/>
      <w:sz w:val="22"/>
      <w:szCs w:val="22"/>
      <w:lang w:val="en-GB" w:eastAsia="de-DE"/>
    </w:rPr>
  </w:style>
  <w:style w:type="table" w:styleId="TableGrid">
    <w:name w:val="Table Grid"/>
    <w:aliases w:val="Zchn Zchn Char Zchn Char Zchn Char Zchn Char Zchn Char Zchn Char Zchn Char Zchn Char Zchn Zchn Char Zchn Zchn Char Zchn Zchn Char Zchn Zchn"/>
    <w:basedOn w:val="TableNormal"/>
    <w:uiPriority w:val="5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Pr>
      <w:rFonts w:ascii="Times New Roman" w:eastAsia="Times New Roman" w:hAnsi="Times New Roman" w:cs="Times New Roman"/>
      <w:lang w:eastAsia="ar-SA"/>
    </w:rPr>
  </w:style>
  <w:style w:type="paragraph" w:styleId="NormalWeb">
    <w:name w:val="Normal (Web)"/>
    <w:aliases w:val=" Carattere1,Carattere1"/>
    <w:basedOn w:val="Normal"/>
    <w:link w:val="NormalWebChar"/>
    <w:uiPriority w:val="99"/>
    <w:unhideWhenUsed/>
    <w:qFormat/>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Pr>
      <w:rFonts w:ascii="Calibri" w:eastAsia="Calibri" w:hAnsi="Calibri" w:cs="Times New Roman"/>
      <w:sz w:val="22"/>
      <w:szCs w:val="22"/>
    </w:rPr>
  </w:style>
  <w:style w:type="paragraph" w:customStyle="1" w:styleId="Default">
    <w:name w:val="Default"/>
    <w:pPr>
      <w:autoSpaceDE w:val="0"/>
      <w:autoSpaceDN w:val="0"/>
      <w:adjustRightInd w:val="0"/>
    </w:pPr>
    <w:rPr>
      <w:rFonts w:ascii="Arial" w:eastAsia="Calibri" w:hAnsi="Arial" w:cs="Arial"/>
      <w:color w:val="000000"/>
    </w:rPr>
  </w:style>
  <w:style w:type="paragraph" w:styleId="Revision">
    <w:name w:val="Revision"/>
    <w:hidden/>
    <w:uiPriority w:val="99"/>
    <w:semiHidden/>
    <w:rPr>
      <w:rFonts w:ascii="Times New Roman" w:eastAsia="Times New Roman" w:hAnsi="Times New Roman" w:cs="Times New Roman"/>
      <w:lang w:eastAsia="ar-SA"/>
    </w:rPr>
  </w:style>
  <w:style w:type="paragraph" w:styleId="EndnoteText">
    <w:name w:val="endnote text"/>
    <w:basedOn w:val="Normal"/>
    <w:link w:val="EndnoteTextChar"/>
    <w:uiPriority w:val="99"/>
    <w:semiHidden/>
    <w:unhideWhenUsed/>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val="en-US" w:eastAsia="ar-SA"/>
    </w:rPr>
  </w:style>
  <w:style w:type="character" w:styleId="EndnoteReference">
    <w:name w:val="endnote reference"/>
    <w:uiPriority w:val="99"/>
    <w:semiHidden/>
    <w:unhideWhenUsed/>
    <w:rPr>
      <w:vertAlign w:val="superscript"/>
    </w:rPr>
  </w:style>
  <w:style w:type="paragraph" w:styleId="ListParagraph">
    <w:name w:val="List Paragraph"/>
    <w:aliases w:val="Bullet Points,Liste Paragraf,List Paragraph1,Table/Figure Heading,Listeafsnit,List Paragraph (numbered (a)),WB Para,Akapit z listą BS,Tasks,Listenabsatz1,List Paragraph (bulleted list),Bullet 1 List,FooterText,Paragraphe de liste1,Bullets"/>
    <w:basedOn w:val="Normal"/>
    <w:link w:val="ListParagraphChar"/>
    <w:uiPriority w:val="34"/>
    <w:qFormat/>
    <w:pPr>
      <w:ind w:left="720"/>
      <w:contextualSpacing/>
      <w:jc w:val="both"/>
    </w:pPr>
    <w:rPr>
      <w:rFonts w:ascii="Times New Roman" w:eastAsia="Times New Roman" w:hAnsi="Times New Roman" w:cs="Times New Roman"/>
      <w:lang w:val="mk-MK" w:eastAsia="mk-MK"/>
    </w:rPr>
  </w:style>
  <w:style w:type="character" w:customStyle="1" w:styleId="ListParagraphChar">
    <w:name w:val="List Paragraph Char"/>
    <w:aliases w:val="Bullet Points Char,Liste Paragraf Char,List Paragraph1 Char,Table/Figure Heading Char,Listeafsnit Char,List Paragraph (numbered (a)) Char,WB Para Char,Akapit z listą BS Char,Tasks Char,Listenabsatz1 Char,Bullet 1 List Char"/>
    <w:link w:val="ListParagraph"/>
    <w:qFormat/>
    <w:rPr>
      <w:rFonts w:ascii="Times New Roman" w:eastAsia="Times New Roman" w:hAnsi="Times New Roman" w:cs="Times New Roman"/>
      <w:lang w:val="mk-MK" w:eastAsia="mk-MK"/>
    </w:rPr>
  </w:style>
  <w:style w:type="paragraph" w:customStyle="1" w:styleId="copytext">
    <w:name w:val="copytext"/>
    <w:basedOn w:val="Normal"/>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0"/>
      <w:szCs w:val="22"/>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0"/>
      <w:szCs w:val="22"/>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sz w:val="20"/>
      <w:szCs w:val="22"/>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pPr>
      <w:spacing w:after="240"/>
      <w:contextualSpacing/>
      <w:jc w:val="both"/>
    </w:pPr>
    <w:rPr>
      <w:rFonts w:asciiTheme="majorHAnsi" w:eastAsiaTheme="majorEastAsia" w:hAnsiTheme="majorHAnsi" w:cstheme="majorBidi"/>
      <w:b/>
      <w:color w:val="4472C4" w:themeColor="accent1"/>
      <w:spacing w:val="-10"/>
      <w:kern w:val="28"/>
      <w:sz w:val="32"/>
      <w:szCs w:val="56"/>
      <w:lang w:val="en-GB"/>
    </w:rPr>
  </w:style>
  <w:style w:type="character" w:customStyle="1" w:styleId="TitleChar">
    <w:name w:val="Title Char"/>
    <w:basedOn w:val="DefaultParagraphFont"/>
    <w:link w:val="Title"/>
    <w:uiPriority w:val="10"/>
    <w:rPr>
      <w:rFonts w:asciiTheme="majorHAnsi" w:eastAsiaTheme="majorEastAsia" w:hAnsiTheme="majorHAnsi" w:cstheme="majorBidi"/>
      <w:b/>
      <w:color w:val="4472C4" w:themeColor="accent1"/>
      <w:spacing w:val="-10"/>
      <w:kern w:val="28"/>
      <w:sz w:val="32"/>
      <w:szCs w:val="56"/>
      <w:lang w:val="en-GB"/>
    </w:rPr>
  </w:style>
  <w:style w:type="character" w:styleId="Strong">
    <w:name w:val="Strong"/>
    <w:basedOn w:val="DefaultParagraphFont"/>
    <w:uiPriority w:val="22"/>
    <w:qFormat/>
    <w:rPr>
      <w:b/>
      <w:bCs/>
    </w:rPr>
  </w:style>
  <w:style w:type="paragraph" w:customStyle="1" w:styleId="Bullet">
    <w:name w:val="Bullet"/>
    <w:basedOn w:val="BodyText"/>
    <w:qFormat/>
    <w:pPr>
      <w:numPr>
        <w:numId w:val="4"/>
      </w:numPr>
      <w:spacing w:line="276" w:lineRule="auto"/>
      <w:ind w:left="714" w:hanging="430"/>
      <w:contextualSpacing/>
      <w:jc w:val="both"/>
    </w:pPr>
    <w:rPr>
      <w:rFonts w:ascii="Calibri Light" w:eastAsia="Verdana" w:hAnsi="Calibri Light"/>
      <w:sz w:val="20"/>
      <w:szCs w:val="22"/>
      <w:lang w:val="en-US" w:eastAsia="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pPr>
      <w:spacing w:after="160" w:line="240" w:lineRule="exact"/>
    </w:pPr>
    <w:rPr>
      <w:vertAlign w:val="superscript"/>
    </w:rPr>
  </w:style>
  <w:style w:type="character" w:customStyle="1" w:styleId="NoSpacingChar">
    <w:name w:val="No Spacing Char"/>
    <w:basedOn w:val="DefaultParagraphFont"/>
    <w:link w:val="NoSpacing"/>
    <w:uiPriority w:val="1"/>
    <w:rPr>
      <w:rFonts w:ascii="Calibri" w:eastAsia="Calibri" w:hAnsi="Calibri" w:cs="Times New Roman"/>
      <w:sz w:val="22"/>
      <w:szCs w:val="22"/>
    </w:rPr>
  </w:style>
  <w:style w:type="character" w:styleId="PlaceholderText">
    <w:name w:val="Placeholder Text"/>
    <w:basedOn w:val="DefaultParagraphFont"/>
    <w:uiPriority w:val="99"/>
    <w:rPr>
      <w:color w:val="808080"/>
    </w:rPr>
  </w:style>
  <w:style w:type="paragraph" w:customStyle="1" w:styleId="CoverTitle">
    <w:name w:val="Cover Title"/>
    <w:basedOn w:val="NoSpacing"/>
    <w:qFormat/>
    <w:rPr>
      <w:rFonts w:asciiTheme="majorHAnsi" w:eastAsiaTheme="majorEastAsia" w:hAnsiTheme="majorHAnsi" w:cstheme="minorHAnsi"/>
      <w:b/>
      <w:bCs/>
      <w:caps/>
      <w:color w:val="FFFFFF" w:themeColor="background1"/>
      <w:sz w:val="72"/>
      <w:szCs w:val="72"/>
    </w:rPr>
  </w:style>
  <w:style w:type="paragraph" w:customStyle="1" w:styleId="CoverSubHeading">
    <w:name w:val="Cover Sub Heading"/>
    <w:basedOn w:val="Normal"/>
    <w:qFormat/>
    <w:pPr>
      <w:spacing w:after="200" w:line="276" w:lineRule="auto"/>
      <w:jc w:val="both"/>
    </w:pPr>
    <w:rPr>
      <w:rFonts w:asciiTheme="majorHAnsi" w:eastAsia="Verdana" w:hAnsiTheme="majorHAnsi" w:cs="Times New Roman"/>
      <w:noProof/>
      <w:sz w:val="20"/>
      <w:szCs w:val="22"/>
      <w:lang w:val="en-GB"/>
    </w:rPr>
  </w:style>
  <w:style w:type="paragraph" w:customStyle="1" w:styleId="CoverInformation">
    <w:name w:val="Cover Information"/>
    <w:basedOn w:val="CoverSubHeading"/>
    <w:qFormat/>
    <w:rPr>
      <w:rFonts w:ascii="Calibri Light" w:hAnsi="Calibri Light"/>
      <w:b/>
      <w:color w:val="FFFFFF" w:themeColor="background1"/>
      <w:sz w:val="28"/>
    </w:rPr>
  </w:style>
  <w:style w:type="character" w:customStyle="1" w:styleId="CaptionChar">
    <w:name w:val="Caption Char"/>
    <w:aliases w:val="Caption Char Char Char Char Char Char,Caption Char Char Char Char,Caption_Tabela Char,2 Char,Char1 Char,Map Char,Tabelle Char,Beschriftung Char Char,Beschriftung Char1 Char Char,Beschriftung Char Char Char Char Char"/>
    <w:link w:val="Caption"/>
    <w:locked/>
    <w:rPr>
      <w:rFonts w:ascii="Times New Roman" w:eastAsia="Times New Roman" w:hAnsi="Times New Roman" w:cs="Times New Roman"/>
      <w:i/>
      <w:iCs/>
      <w:lang w:eastAsia="ar-SA"/>
    </w:rPr>
  </w:style>
  <w:style w:type="paragraph" w:customStyle="1" w:styleId="AddressText">
    <w:name w:val="Address Text"/>
    <w:basedOn w:val="Caption"/>
    <w:pPr>
      <w:suppressLineNumbers w:val="0"/>
      <w:pBdr>
        <w:top w:val="single" w:sz="8" w:space="1" w:color="A5A5A5" w:themeColor="accent3"/>
      </w:pBdr>
      <w:spacing w:before="0" w:after="200"/>
      <w:contextualSpacing/>
      <w:jc w:val="both"/>
    </w:pPr>
    <w:rPr>
      <w:rFonts w:ascii="Calibri Light" w:eastAsia="Verdana" w:hAnsi="Calibri Light"/>
      <w:i w:val="0"/>
      <w:iCs w:val="0"/>
      <w:color w:val="44546A" w:themeColor="text2"/>
      <w:szCs w:val="18"/>
      <w:lang w:eastAsia="en-US"/>
    </w:rPr>
  </w:style>
  <w:style w:type="paragraph" w:customStyle="1" w:styleId="Backwebsite">
    <w:name w:val="Back website"/>
    <w:basedOn w:val="Title"/>
    <w:pPr>
      <w:jc w:val="center"/>
    </w:pPr>
    <w:rPr>
      <w:color w:val="FFFFFF" w:themeColor="background1"/>
    </w:rPr>
  </w:style>
  <w:style w:type="paragraph" w:customStyle="1" w:styleId="BackAddress">
    <w:name w:val="Back Address"/>
    <w:basedOn w:val="Backwebsite"/>
    <w:rPr>
      <w:sz w:val="28"/>
    </w:rPr>
  </w:style>
  <w:style w:type="paragraph" w:customStyle="1" w:styleId="LeadText">
    <w:name w:val="Lead Text"/>
    <w:basedOn w:val="Subtitle"/>
    <w:qFormat/>
    <w:pPr>
      <w:numPr>
        <w:ilvl w:val="1"/>
      </w:numPr>
      <w:suppressAutoHyphens w:val="0"/>
      <w:spacing w:after="200" w:line="276" w:lineRule="auto"/>
      <w:jc w:val="both"/>
    </w:pPr>
    <w:rPr>
      <w:rFonts w:ascii="Calibri Light" w:eastAsiaTheme="minorEastAsia" w:hAnsi="Calibri Light"/>
      <w:color w:val="44546A" w:themeColor="text2"/>
      <w:spacing w:val="15"/>
      <w:kern w:val="0"/>
      <w:sz w:val="26"/>
      <w:szCs w:val="22"/>
      <w:lang w:val="en-GB" w:eastAsia="en-US" w:bidi="ar-SA"/>
    </w:rPr>
  </w:style>
  <w:style w:type="paragraph" w:customStyle="1" w:styleId="CoverSubtitle">
    <w:name w:val="Cover Subtitle"/>
    <w:basedOn w:val="Normal"/>
    <w:qFormat/>
    <w:pPr>
      <w:spacing w:after="200" w:line="276" w:lineRule="auto"/>
      <w:jc w:val="both"/>
    </w:pPr>
    <w:rPr>
      <w:rFonts w:asciiTheme="majorHAnsi" w:eastAsia="Verdana" w:hAnsiTheme="majorHAnsi" w:cs="Times New Roman"/>
      <w:b/>
      <w:noProof/>
      <w:color w:val="A5A5A5" w:themeColor="accent3"/>
      <w:sz w:val="44"/>
      <w:szCs w:val="22"/>
      <w:lang w:val="en-GB"/>
    </w:rPr>
  </w:style>
  <w:style w:type="paragraph" w:customStyle="1" w:styleId="TItlecover">
    <w:name w:val="TItle cover"/>
    <w:basedOn w:val="Title"/>
    <w:qFormat/>
    <w:pPr>
      <w:pBdr>
        <w:bottom w:val="single" w:sz="8" w:space="4" w:color="FFFFFF" w:themeColor="background1"/>
      </w:pBdr>
      <w:spacing w:after="120"/>
    </w:pPr>
    <w:rPr>
      <w:rFonts w:eastAsia="Times New Roman" w:cs="Times New Roman"/>
      <w:caps/>
      <w:color w:val="FFFFFF" w:themeColor="background1"/>
      <w:spacing w:val="5"/>
      <w:sz w:val="40"/>
      <w:szCs w:val="52"/>
    </w:rPr>
  </w:style>
  <w:style w:type="paragraph" w:customStyle="1" w:styleId="Letterfooter">
    <w:name w:val="Letter footer"/>
    <w:qFormat/>
    <w:rPr>
      <w:rFonts w:eastAsiaTheme="majorEastAsia" w:cstheme="majorBidi"/>
      <w:kern w:val="28"/>
      <w:sz w:val="18"/>
      <w:szCs w:val="52"/>
      <w:lang w:val="sv-SE"/>
    </w:rPr>
  </w:style>
  <w:style w:type="character" w:customStyle="1" w:styleId="NormalWebChar">
    <w:name w:val="Normal (Web) Char"/>
    <w:aliases w:val=" Carattere1 Char,Carattere1 Char"/>
    <w:link w:val="NormalWeb"/>
    <w:uiPriority w:val="99"/>
    <w:rPr>
      <w:rFonts w:ascii="Times New Roman" w:eastAsia="Times New Roman" w:hAnsi="Times New Roman" w:cs="Times New Roman"/>
    </w:rPr>
  </w:style>
  <w:style w:type="character" w:customStyle="1" w:styleId="BodyTextIndent3Char">
    <w:name w:val="Body Text Indent 3 Char"/>
    <w:basedOn w:val="DefaultParagraphFont"/>
    <w:link w:val="BodyTextIndent3"/>
    <w:uiPriority w:val="99"/>
    <w:semiHidden/>
    <w:rPr>
      <w:rFonts w:asciiTheme="majorHAnsi" w:eastAsia="Verdana" w:hAnsiTheme="majorHAnsi" w:cs="Times New Roman"/>
      <w:sz w:val="16"/>
      <w:szCs w:val="16"/>
      <w:lang w:val="en-GB"/>
    </w:rPr>
  </w:style>
  <w:style w:type="paragraph" w:styleId="BodyTextIndent3">
    <w:name w:val="Body Text Indent 3"/>
    <w:basedOn w:val="Normal"/>
    <w:link w:val="BodyTextIndent3Char"/>
    <w:uiPriority w:val="99"/>
    <w:semiHidden/>
    <w:unhideWhenUsed/>
    <w:pPr>
      <w:spacing w:after="120" w:line="276" w:lineRule="auto"/>
      <w:ind w:left="283"/>
      <w:jc w:val="both"/>
    </w:pPr>
    <w:rPr>
      <w:rFonts w:asciiTheme="majorHAnsi" w:eastAsia="Verdana" w:hAnsiTheme="majorHAnsi" w:cs="Times New Roman"/>
      <w:sz w:val="16"/>
      <w:szCs w:val="16"/>
      <w:lang w:val="en-GB"/>
    </w:rPr>
  </w:style>
  <w:style w:type="character" w:customStyle="1" w:styleId="BodyTextIndent3Char1">
    <w:name w:val="Body Text Indent 3 Char1"/>
    <w:basedOn w:val="DefaultParagraphFont"/>
    <w:uiPriority w:val="99"/>
    <w:semiHidden/>
    <w:rPr>
      <w:sz w:val="16"/>
      <w:szCs w:val="16"/>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line="276" w:lineRule="auto"/>
      <w:ind w:left="864" w:right="864"/>
      <w:jc w:val="center"/>
    </w:pPr>
    <w:rPr>
      <w:rFonts w:asciiTheme="majorHAnsi" w:eastAsia="Verdana" w:hAnsiTheme="majorHAnsi" w:cs="Times New Roman"/>
      <w:i/>
      <w:iCs/>
      <w:color w:val="4472C4" w:themeColor="accent1"/>
      <w:sz w:val="20"/>
      <w:szCs w:val="22"/>
      <w:lang w:val="en-GB"/>
    </w:rPr>
  </w:style>
  <w:style w:type="character" w:customStyle="1" w:styleId="IntenseQuoteChar">
    <w:name w:val="Intense Quote Char"/>
    <w:basedOn w:val="DefaultParagraphFont"/>
    <w:link w:val="IntenseQuote"/>
    <w:uiPriority w:val="30"/>
    <w:rPr>
      <w:rFonts w:asciiTheme="majorHAnsi" w:eastAsia="Verdana" w:hAnsiTheme="majorHAnsi" w:cs="Times New Roman"/>
      <w:i/>
      <w:iCs/>
      <w:color w:val="4472C4" w:themeColor="accent1"/>
      <w:sz w:val="20"/>
      <w:szCs w:val="22"/>
      <w:lang w:val="en-GB"/>
    </w:rPr>
  </w:style>
  <w:style w:type="character" w:styleId="SubtleEmphasis">
    <w:name w:val="Subtle Emphasis"/>
    <w:basedOn w:val="DefaultParagraphFont"/>
    <w:uiPriority w:val="19"/>
    <w:qFormat/>
    <w:rPr>
      <w:i/>
      <w:iCs/>
      <w:color w:val="404040" w:themeColor="text1" w:themeTint="BF"/>
    </w:rPr>
  </w:style>
  <w:style w:type="paragraph" w:styleId="TOC4">
    <w:name w:val="toc 4"/>
    <w:basedOn w:val="Normal"/>
    <w:next w:val="Normal"/>
    <w:autoRedefine/>
    <w:uiPriority w:val="39"/>
    <w:unhideWhenUsed/>
    <w:pPr>
      <w:spacing w:after="100" w:line="259" w:lineRule="auto"/>
      <w:ind w:left="660"/>
    </w:pPr>
    <w:rPr>
      <w:rFonts w:eastAsiaTheme="minorEastAsia"/>
      <w:sz w:val="22"/>
      <w:szCs w:val="22"/>
      <w:lang w:val="en-GB"/>
    </w:rPr>
  </w:style>
  <w:style w:type="paragraph" w:styleId="TOC5">
    <w:name w:val="toc 5"/>
    <w:basedOn w:val="Normal"/>
    <w:next w:val="Normal"/>
    <w:autoRedefine/>
    <w:uiPriority w:val="39"/>
    <w:unhideWhenUsed/>
    <w:pPr>
      <w:spacing w:after="100" w:line="259" w:lineRule="auto"/>
      <w:ind w:left="880"/>
    </w:pPr>
    <w:rPr>
      <w:rFonts w:eastAsiaTheme="minorEastAsia"/>
      <w:sz w:val="22"/>
      <w:szCs w:val="22"/>
      <w:lang w:val="en-GB"/>
    </w:rPr>
  </w:style>
  <w:style w:type="paragraph" w:styleId="TOC6">
    <w:name w:val="toc 6"/>
    <w:basedOn w:val="Normal"/>
    <w:next w:val="Normal"/>
    <w:autoRedefine/>
    <w:uiPriority w:val="39"/>
    <w:unhideWhenUsed/>
    <w:pPr>
      <w:spacing w:after="100" w:line="259" w:lineRule="auto"/>
      <w:ind w:left="1100"/>
    </w:pPr>
    <w:rPr>
      <w:rFonts w:eastAsiaTheme="minorEastAsia"/>
      <w:sz w:val="22"/>
      <w:szCs w:val="22"/>
      <w:lang w:val="en-GB"/>
    </w:rPr>
  </w:style>
  <w:style w:type="paragraph" w:styleId="TOC7">
    <w:name w:val="toc 7"/>
    <w:basedOn w:val="Normal"/>
    <w:next w:val="Normal"/>
    <w:autoRedefine/>
    <w:uiPriority w:val="39"/>
    <w:unhideWhenUsed/>
    <w:pPr>
      <w:spacing w:after="100" w:line="259" w:lineRule="auto"/>
      <w:ind w:left="1320"/>
    </w:pPr>
    <w:rPr>
      <w:rFonts w:eastAsiaTheme="minorEastAsia"/>
      <w:sz w:val="22"/>
      <w:szCs w:val="22"/>
      <w:lang w:val="en-GB"/>
    </w:rPr>
  </w:style>
  <w:style w:type="paragraph" w:styleId="TOC8">
    <w:name w:val="toc 8"/>
    <w:basedOn w:val="Normal"/>
    <w:next w:val="Normal"/>
    <w:autoRedefine/>
    <w:uiPriority w:val="39"/>
    <w:unhideWhenUsed/>
    <w:pPr>
      <w:spacing w:after="100" w:line="259" w:lineRule="auto"/>
      <w:ind w:left="1540"/>
    </w:pPr>
    <w:rPr>
      <w:rFonts w:eastAsiaTheme="minorEastAsia"/>
      <w:sz w:val="22"/>
      <w:szCs w:val="22"/>
      <w:lang w:val="en-GB"/>
    </w:rPr>
  </w:style>
  <w:style w:type="paragraph" w:styleId="TOC9">
    <w:name w:val="toc 9"/>
    <w:basedOn w:val="Normal"/>
    <w:next w:val="Normal"/>
    <w:autoRedefine/>
    <w:uiPriority w:val="39"/>
    <w:unhideWhenUsed/>
    <w:pPr>
      <w:spacing w:after="100" w:line="259" w:lineRule="auto"/>
      <w:ind w:left="1760"/>
    </w:pPr>
    <w:rPr>
      <w:rFonts w:eastAsiaTheme="minorEastAsia"/>
      <w:sz w:val="22"/>
      <w:szCs w:val="22"/>
      <w:lang w:val="en-GB"/>
    </w:rPr>
  </w:style>
  <w:style w:type="paragraph" w:customStyle="1" w:styleId="ListmultiBullet1">
    <w:name w:val="List multi Bullet 1"/>
    <w:uiPriority w:val="5"/>
    <w:qFormat/>
    <w:pPr>
      <w:spacing w:after="120" w:line="276" w:lineRule="auto"/>
      <w:ind w:left="284" w:hanging="284"/>
    </w:pPr>
    <w:rPr>
      <w:rFonts w:ascii="Calibri" w:eastAsia="Calibri" w:hAnsi="Calibri" w:cs="Times New Roman"/>
      <w:sz w:val="22"/>
      <w:szCs w:val="22"/>
      <w:lang w:val="en-GB" w:eastAsia="hr-HR"/>
    </w:rPr>
  </w:style>
  <w:style w:type="paragraph" w:customStyle="1" w:styleId="ListmultiBullet2">
    <w:name w:val="List multi Bullet 2"/>
    <w:basedOn w:val="ListmultiBullet1"/>
    <w:uiPriority w:val="5"/>
    <w:qFormat/>
    <w:pPr>
      <w:numPr>
        <w:ilvl w:val="1"/>
      </w:numPr>
      <w:spacing w:after="60"/>
      <w:ind w:left="284" w:hanging="284"/>
    </w:pPr>
  </w:style>
  <w:style w:type="character" w:customStyle="1" w:styleId="apple-converted-space">
    <w:name w:val="apple-converted-space"/>
    <w:basedOn w:val="DefaultParagraphFont"/>
  </w:style>
  <w:style w:type="paragraph" w:customStyle="1" w:styleId="TableParagraph">
    <w:name w:val="Table Paragraph"/>
    <w:basedOn w:val="Normal"/>
    <w:uiPriority w:val="1"/>
    <w:qFormat/>
    <w:pPr>
      <w:widowControl w:val="0"/>
      <w:autoSpaceDE w:val="0"/>
      <w:autoSpaceDN w:val="0"/>
      <w:spacing w:before="23"/>
      <w:jc w:val="right"/>
    </w:pPr>
    <w:rPr>
      <w:rFonts w:ascii="Cambria" w:eastAsia="Cambria" w:hAnsi="Cambria" w:cs="Cambria"/>
      <w:sz w:val="22"/>
      <w:szCs w:val="22"/>
    </w:rPr>
  </w:style>
  <w:style w:type="paragraph" w:customStyle="1" w:styleId="Ind01">
    <w:name w:val="Ind 01"/>
    <w:basedOn w:val="Normal"/>
    <w:pPr>
      <w:spacing w:after="120"/>
      <w:ind w:left="2708" w:hanging="360"/>
      <w:jc w:val="both"/>
    </w:pPr>
    <w:rPr>
      <w:rFonts w:ascii="Arial" w:eastAsia="Times New Roman" w:hAnsi="Arial" w:cs="Times New Roman"/>
      <w:sz w:val="21"/>
      <w:szCs w:val="21"/>
      <w:lang w:val="en-GB"/>
    </w:rPr>
  </w:style>
  <w:style w:type="paragraph" w:customStyle="1" w:styleId="Indent01">
    <w:name w:val="Indent 01"/>
    <w:basedOn w:val="Ind01"/>
    <w:link w:val="Indent01Char"/>
    <w:qFormat/>
    <w:pPr>
      <w:spacing w:after="60"/>
      <w:ind w:left="360"/>
    </w:pPr>
    <w:rPr>
      <w:sz w:val="22"/>
      <w:szCs w:val="22"/>
    </w:rPr>
  </w:style>
  <w:style w:type="character" w:customStyle="1" w:styleId="Indent01Char">
    <w:name w:val="Indent 01 Char"/>
    <w:basedOn w:val="DefaultParagraphFont"/>
    <w:link w:val="Indent01"/>
    <w:rPr>
      <w:rFonts w:ascii="Arial" w:eastAsia="Times New Roman" w:hAnsi="Arial" w:cs="Times New Roman"/>
      <w:sz w:val="22"/>
      <w:szCs w:val="22"/>
      <w:lang w:val="en-GB"/>
    </w:rPr>
  </w:style>
  <w:style w:type="paragraph" w:styleId="ListBullet">
    <w:name w:val="List Bullet"/>
    <w:basedOn w:val="Normal"/>
    <w:uiPriority w:val="3"/>
    <w:unhideWhenUsed/>
    <w:qFormat/>
    <w:pPr>
      <w:spacing w:after="120" w:line="260" w:lineRule="atLeast"/>
      <w:ind w:left="340" w:hanging="340"/>
      <w:jc w:val="both"/>
    </w:pPr>
    <w:rPr>
      <w:rFonts w:ascii="Calibri" w:eastAsia="Times New Roman" w:hAnsi="Calibri" w:cs="Times New Roman"/>
      <w:sz w:val="22"/>
      <w:szCs w:val="18"/>
      <w:lang w:val="en-GB" w:eastAsia="da-DK"/>
    </w:rPr>
  </w:style>
  <w:style w:type="paragraph" w:customStyle="1" w:styleId="Normal-Supplementtitle">
    <w:name w:val="Normal - Supplement title"/>
    <w:basedOn w:val="Normal"/>
    <w:next w:val="Normal"/>
    <w:uiPriority w:val="2"/>
    <w:qFormat/>
    <w:pPr>
      <w:spacing w:after="120" w:line="280" w:lineRule="exact"/>
      <w:jc w:val="both"/>
      <w:outlineLvl w:val="7"/>
    </w:pPr>
    <w:rPr>
      <w:rFonts w:ascii="Calibri" w:eastAsia="Times New Roman" w:hAnsi="Calibri" w:cs="Times New Roman"/>
      <w:b/>
      <w:caps/>
      <w:color w:val="009DE0"/>
      <w:sz w:val="22"/>
      <w:szCs w:val="18"/>
      <w:lang w:val="en-GB" w:eastAsia="da-DK"/>
    </w:rPr>
  </w:style>
  <w:style w:type="paragraph" w:styleId="ListBullet2">
    <w:name w:val="List Bullet 2"/>
    <w:basedOn w:val="Normal"/>
    <w:semiHidden/>
    <w:pPr>
      <w:tabs>
        <w:tab w:val="num" w:pos="643"/>
      </w:tabs>
      <w:suppressAutoHyphens/>
      <w:spacing w:line="260" w:lineRule="atLeast"/>
      <w:ind w:left="643" w:hanging="360"/>
    </w:pPr>
    <w:rPr>
      <w:rFonts w:ascii="Verdana" w:eastAsia="Times New Roman" w:hAnsi="Verdana" w:cs="Times New Roman"/>
      <w:sz w:val="18"/>
      <w:szCs w:val="18"/>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9628</Words>
  <Characters>54883</Characters>
  <Application>Microsoft Office Word</Application>
  <DocSecurity>0</DocSecurity>
  <Lines>457</Lines>
  <Paragraphs>128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vt:lpstr>
      <vt:lpstr>    </vt:lpstr>
      <vt:lpstr>    </vt:lpstr>
    </vt:vector>
  </TitlesOfParts>
  <Company/>
  <LinksUpToDate>false</LinksUpToDate>
  <CharactersWithSpaces>64383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Popovici</dc:creator>
  <cp:lastModifiedBy>Admin</cp:lastModifiedBy>
  <cp:revision>2</cp:revision>
  <dcterms:created xsi:type="dcterms:W3CDTF">2023-06-30T19:07:00Z</dcterms:created>
  <dcterms:modified xsi:type="dcterms:W3CDTF">2023-06-30T19:07:00Z</dcterms:modified>
</cp:coreProperties>
</file>